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F74C3" w14:textId="60E1938C" w:rsidR="00D8479E" w:rsidRPr="00F96440" w:rsidRDefault="00F96440" w:rsidP="00D346D4">
      <w:pPr>
        <w:pStyle w:val="Ttulo"/>
        <w:rPr>
          <w:sz w:val="24"/>
          <w:szCs w:val="24"/>
        </w:rPr>
      </w:pPr>
      <w:r w:rsidRPr="00F96440">
        <w:rPr>
          <w:sz w:val="24"/>
          <w:szCs w:val="24"/>
        </w:rPr>
        <w:t>ACUERDO QUE EMITE EL CONSEJO ESTATAL DEL INSTITUTO ELECTORAL Y DE PARTICIPACIÓN CIUDADANA DE TABASCO, MEDIANTE EL CUAL SE DETERMINAN LOS TOPES DE GASTOS DE PRECAMPAÑA PARA LAS ELECCIONES A LA GUBERNATURA DEL ESTADO, DIPUTACIONES, PRESIDENCIAS MUNICIPALES Y REGIDURÍAS POR EL PRINCIPIO DE MAYORÍA RELATIVA CON MOTIVO DEL PROCESO ELECTORAL LOCAL ORDINARIO 2023 – 2024</w:t>
      </w:r>
    </w:p>
    <w:p w14:paraId="5C868BA7" w14:textId="77777777" w:rsidR="00D8479E" w:rsidRPr="00514A78" w:rsidRDefault="00D8479E" w:rsidP="00D8479E">
      <w:pPr>
        <w:spacing w:line="288" w:lineRule="auto"/>
      </w:pPr>
      <w:r w:rsidRPr="00514A78">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514A78" w:rsidRPr="00F96440" w14:paraId="6467C348" w14:textId="77777777" w:rsidTr="007B1BC1">
        <w:trPr>
          <w:trHeight w:val="624"/>
          <w:jc w:val="center"/>
        </w:trPr>
        <w:tc>
          <w:tcPr>
            <w:tcW w:w="2042" w:type="pct"/>
            <w:shd w:val="clear" w:color="auto" w:fill="auto"/>
            <w:vAlign w:val="center"/>
          </w:tcPr>
          <w:p w14:paraId="0F4AD381" w14:textId="77777777" w:rsidR="00F12BAA" w:rsidRPr="00F96440" w:rsidRDefault="00F12BAA" w:rsidP="007B1BC1">
            <w:pPr>
              <w:spacing w:before="60" w:after="60" w:line="288" w:lineRule="auto"/>
              <w:ind w:left="57"/>
              <w:jc w:val="right"/>
              <w:rPr>
                <w:b/>
                <w:sz w:val="20"/>
                <w:szCs w:val="20"/>
              </w:rPr>
            </w:pPr>
            <w:r w:rsidRPr="00F96440">
              <w:rPr>
                <w:b/>
                <w:sz w:val="20"/>
                <w:szCs w:val="20"/>
              </w:rPr>
              <w:t>Consejo Estatal:</w:t>
            </w:r>
          </w:p>
        </w:tc>
        <w:tc>
          <w:tcPr>
            <w:tcW w:w="2958" w:type="pct"/>
            <w:shd w:val="clear" w:color="auto" w:fill="auto"/>
            <w:vAlign w:val="center"/>
          </w:tcPr>
          <w:p w14:paraId="44A0B5B5" w14:textId="77777777" w:rsidR="00F12BAA" w:rsidRPr="00F96440" w:rsidRDefault="00F12BAA" w:rsidP="007B1BC1">
            <w:pPr>
              <w:spacing w:before="60" w:after="60" w:line="288" w:lineRule="auto"/>
              <w:ind w:left="57"/>
              <w:rPr>
                <w:sz w:val="20"/>
                <w:szCs w:val="20"/>
              </w:rPr>
            </w:pPr>
            <w:r w:rsidRPr="00F96440">
              <w:rPr>
                <w:sz w:val="20"/>
                <w:szCs w:val="20"/>
              </w:rPr>
              <w:t>Consejo Estatal del Instituto Electoral y de Participación Ciudadana de Tabasco.</w:t>
            </w:r>
          </w:p>
        </w:tc>
      </w:tr>
      <w:tr w:rsidR="00514A78" w:rsidRPr="00F96440" w14:paraId="3FD6F82A" w14:textId="77777777" w:rsidTr="007B1BC1">
        <w:trPr>
          <w:trHeight w:val="624"/>
          <w:jc w:val="center"/>
        </w:trPr>
        <w:tc>
          <w:tcPr>
            <w:tcW w:w="2042" w:type="pct"/>
            <w:shd w:val="clear" w:color="auto" w:fill="auto"/>
            <w:vAlign w:val="center"/>
          </w:tcPr>
          <w:p w14:paraId="7BBB9BE3" w14:textId="77777777" w:rsidR="00F12BAA" w:rsidRPr="00F96440" w:rsidRDefault="00F12BAA" w:rsidP="007B1BC1">
            <w:pPr>
              <w:spacing w:before="60" w:after="60" w:line="288" w:lineRule="auto"/>
              <w:ind w:left="57"/>
              <w:jc w:val="right"/>
              <w:rPr>
                <w:b/>
                <w:sz w:val="20"/>
                <w:szCs w:val="20"/>
              </w:rPr>
            </w:pPr>
            <w:r w:rsidRPr="00F96440">
              <w:rPr>
                <w:b/>
                <w:sz w:val="20"/>
                <w:szCs w:val="20"/>
              </w:rPr>
              <w:t>Constitución Federal:</w:t>
            </w:r>
          </w:p>
        </w:tc>
        <w:tc>
          <w:tcPr>
            <w:tcW w:w="2958" w:type="pct"/>
            <w:shd w:val="clear" w:color="auto" w:fill="auto"/>
            <w:vAlign w:val="center"/>
          </w:tcPr>
          <w:p w14:paraId="67584188" w14:textId="77777777" w:rsidR="00F12BAA" w:rsidRPr="00F96440" w:rsidRDefault="00F12BAA" w:rsidP="007B1BC1">
            <w:pPr>
              <w:spacing w:before="60" w:after="60" w:line="288" w:lineRule="auto"/>
              <w:ind w:left="57"/>
              <w:rPr>
                <w:sz w:val="20"/>
                <w:szCs w:val="20"/>
              </w:rPr>
            </w:pPr>
            <w:r w:rsidRPr="00F96440">
              <w:rPr>
                <w:sz w:val="20"/>
                <w:szCs w:val="20"/>
              </w:rPr>
              <w:t>Constitución Política de los Estados Unidos Mexicanos.</w:t>
            </w:r>
          </w:p>
        </w:tc>
      </w:tr>
      <w:tr w:rsidR="00514A78" w:rsidRPr="00F96440" w14:paraId="1B3B2336" w14:textId="77777777" w:rsidTr="007B1BC1">
        <w:trPr>
          <w:trHeight w:val="624"/>
          <w:jc w:val="center"/>
        </w:trPr>
        <w:tc>
          <w:tcPr>
            <w:tcW w:w="2042" w:type="pct"/>
            <w:shd w:val="clear" w:color="auto" w:fill="auto"/>
            <w:vAlign w:val="center"/>
          </w:tcPr>
          <w:p w14:paraId="34FB4377" w14:textId="77777777" w:rsidR="00F12BAA" w:rsidRPr="00F96440" w:rsidRDefault="00F12BAA" w:rsidP="007B1BC1">
            <w:pPr>
              <w:spacing w:before="60" w:after="60" w:line="288" w:lineRule="auto"/>
              <w:ind w:left="57"/>
              <w:jc w:val="right"/>
              <w:rPr>
                <w:b/>
                <w:sz w:val="20"/>
                <w:szCs w:val="20"/>
              </w:rPr>
            </w:pPr>
            <w:r w:rsidRPr="00F96440">
              <w:rPr>
                <w:b/>
                <w:sz w:val="20"/>
                <w:szCs w:val="20"/>
              </w:rPr>
              <w:t>Constitución Local:</w:t>
            </w:r>
          </w:p>
        </w:tc>
        <w:tc>
          <w:tcPr>
            <w:tcW w:w="2958" w:type="pct"/>
            <w:shd w:val="clear" w:color="auto" w:fill="auto"/>
            <w:vAlign w:val="center"/>
          </w:tcPr>
          <w:p w14:paraId="26580EC3" w14:textId="77777777" w:rsidR="00F12BAA" w:rsidRPr="00F96440" w:rsidRDefault="00F12BAA" w:rsidP="007B1BC1">
            <w:pPr>
              <w:spacing w:before="60" w:after="60" w:line="288" w:lineRule="auto"/>
              <w:ind w:left="57"/>
              <w:rPr>
                <w:sz w:val="20"/>
                <w:szCs w:val="20"/>
              </w:rPr>
            </w:pPr>
            <w:r w:rsidRPr="00F96440">
              <w:rPr>
                <w:sz w:val="20"/>
                <w:szCs w:val="20"/>
              </w:rPr>
              <w:t>Constitución Política del Estado Libre y Soberano de Tabasco.</w:t>
            </w:r>
          </w:p>
        </w:tc>
      </w:tr>
      <w:tr w:rsidR="00514A78" w:rsidRPr="00F96440" w14:paraId="54C41832" w14:textId="77777777" w:rsidTr="007B1BC1">
        <w:trPr>
          <w:trHeight w:val="624"/>
          <w:jc w:val="center"/>
        </w:trPr>
        <w:tc>
          <w:tcPr>
            <w:tcW w:w="2042" w:type="pct"/>
            <w:shd w:val="clear" w:color="auto" w:fill="auto"/>
            <w:vAlign w:val="center"/>
          </w:tcPr>
          <w:p w14:paraId="46C29653" w14:textId="77777777" w:rsidR="00F12BAA" w:rsidRPr="00F96440" w:rsidRDefault="00F12BAA" w:rsidP="007B1BC1">
            <w:pPr>
              <w:spacing w:before="60" w:after="60" w:line="288" w:lineRule="auto"/>
              <w:ind w:left="57"/>
              <w:jc w:val="right"/>
              <w:rPr>
                <w:b/>
                <w:sz w:val="20"/>
                <w:szCs w:val="20"/>
              </w:rPr>
            </w:pPr>
            <w:r w:rsidRPr="00F96440">
              <w:rPr>
                <w:b/>
                <w:sz w:val="20"/>
                <w:szCs w:val="20"/>
              </w:rPr>
              <w:t>INE:</w:t>
            </w:r>
          </w:p>
        </w:tc>
        <w:tc>
          <w:tcPr>
            <w:tcW w:w="2958" w:type="pct"/>
            <w:shd w:val="clear" w:color="auto" w:fill="auto"/>
            <w:vAlign w:val="center"/>
          </w:tcPr>
          <w:p w14:paraId="320DC179" w14:textId="77777777" w:rsidR="00F12BAA" w:rsidRPr="00F96440" w:rsidRDefault="00F12BAA" w:rsidP="007B1BC1">
            <w:pPr>
              <w:spacing w:before="60" w:after="60" w:line="288" w:lineRule="auto"/>
              <w:ind w:left="57"/>
              <w:rPr>
                <w:sz w:val="20"/>
                <w:szCs w:val="20"/>
              </w:rPr>
            </w:pPr>
            <w:r w:rsidRPr="00F96440">
              <w:rPr>
                <w:sz w:val="20"/>
                <w:szCs w:val="20"/>
              </w:rPr>
              <w:t>Instituto Nacional Electoral.</w:t>
            </w:r>
          </w:p>
        </w:tc>
      </w:tr>
      <w:tr w:rsidR="00514A78" w:rsidRPr="00F96440" w14:paraId="172295F8" w14:textId="77777777" w:rsidTr="007B1BC1">
        <w:trPr>
          <w:trHeight w:val="624"/>
          <w:jc w:val="center"/>
        </w:trPr>
        <w:tc>
          <w:tcPr>
            <w:tcW w:w="2042" w:type="pct"/>
            <w:shd w:val="clear" w:color="auto" w:fill="auto"/>
            <w:vAlign w:val="center"/>
          </w:tcPr>
          <w:p w14:paraId="01E11CD2" w14:textId="77777777" w:rsidR="00F12BAA" w:rsidRPr="00F96440" w:rsidRDefault="00F12BAA" w:rsidP="007B1BC1">
            <w:pPr>
              <w:spacing w:before="60" w:after="60" w:line="288" w:lineRule="auto"/>
              <w:ind w:left="57"/>
              <w:jc w:val="right"/>
              <w:rPr>
                <w:b/>
                <w:sz w:val="20"/>
                <w:szCs w:val="20"/>
              </w:rPr>
            </w:pPr>
            <w:r w:rsidRPr="00F96440">
              <w:rPr>
                <w:b/>
                <w:sz w:val="20"/>
                <w:szCs w:val="20"/>
              </w:rPr>
              <w:t>Instituto:</w:t>
            </w:r>
          </w:p>
        </w:tc>
        <w:tc>
          <w:tcPr>
            <w:tcW w:w="2958" w:type="pct"/>
            <w:shd w:val="clear" w:color="auto" w:fill="auto"/>
          </w:tcPr>
          <w:p w14:paraId="341B51EC" w14:textId="77777777" w:rsidR="00F12BAA" w:rsidRPr="00F96440" w:rsidRDefault="00F12BAA" w:rsidP="007B1BC1">
            <w:pPr>
              <w:spacing w:before="60" w:after="60" w:line="288" w:lineRule="auto"/>
              <w:ind w:left="57"/>
              <w:rPr>
                <w:sz w:val="20"/>
                <w:szCs w:val="20"/>
              </w:rPr>
            </w:pPr>
            <w:r w:rsidRPr="00F96440">
              <w:rPr>
                <w:sz w:val="20"/>
                <w:szCs w:val="20"/>
              </w:rPr>
              <w:t>Instituto Electoral y de Participación Ciudadana de Tabasco.</w:t>
            </w:r>
          </w:p>
        </w:tc>
      </w:tr>
      <w:tr w:rsidR="00F12BAA" w:rsidRPr="00F96440" w14:paraId="1EE62F5E" w14:textId="77777777" w:rsidTr="007B1BC1">
        <w:trPr>
          <w:trHeight w:val="624"/>
          <w:jc w:val="center"/>
        </w:trPr>
        <w:tc>
          <w:tcPr>
            <w:tcW w:w="2042" w:type="pct"/>
            <w:shd w:val="clear" w:color="auto" w:fill="auto"/>
            <w:vAlign w:val="center"/>
          </w:tcPr>
          <w:p w14:paraId="24DFFD4C" w14:textId="77777777" w:rsidR="00F12BAA" w:rsidRPr="00F96440" w:rsidRDefault="00F12BAA" w:rsidP="007B1BC1">
            <w:pPr>
              <w:spacing w:before="60" w:after="60" w:line="288" w:lineRule="auto"/>
              <w:ind w:left="57"/>
              <w:jc w:val="right"/>
              <w:rPr>
                <w:b/>
                <w:sz w:val="20"/>
                <w:szCs w:val="20"/>
              </w:rPr>
            </w:pPr>
            <w:r w:rsidRPr="00F96440">
              <w:rPr>
                <w:b/>
                <w:sz w:val="20"/>
                <w:szCs w:val="20"/>
              </w:rPr>
              <w:t>Ley de Partidos:</w:t>
            </w:r>
          </w:p>
        </w:tc>
        <w:tc>
          <w:tcPr>
            <w:tcW w:w="2958" w:type="pct"/>
            <w:shd w:val="clear" w:color="auto" w:fill="auto"/>
            <w:vAlign w:val="center"/>
          </w:tcPr>
          <w:p w14:paraId="40051AE9" w14:textId="77777777" w:rsidR="00F12BAA" w:rsidRPr="00F96440" w:rsidRDefault="00F12BAA" w:rsidP="007B1BC1">
            <w:pPr>
              <w:spacing w:before="60" w:after="60" w:line="288" w:lineRule="auto"/>
              <w:ind w:left="57"/>
              <w:rPr>
                <w:sz w:val="20"/>
                <w:szCs w:val="20"/>
              </w:rPr>
            </w:pPr>
            <w:r w:rsidRPr="00F96440">
              <w:rPr>
                <w:sz w:val="20"/>
                <w:szCs w:val="20"/>
              </w:rPr>
              <w:t>Ley General de Partidos Políticos.</w:t>
            </w:r>
          </w:p>
        </w:tc>
      </w:tr>
      <w:tr w:rsidR="00514A78" w:rsidRPr="00F96440" w14:paraId="4A1F68E9" w14:textId="77777777" w:rsidTr="007B1BC1">
        <w:trPr>
          <w:trHeight w:val="624"/>
          <w:jc w:val="center"/>
        </w:trPr>
        <w:tc>
          <w:tcPr>
            <w:tcW w:w="2042" w:type="pct"/>
            <w:shd w:val="clear" w:color="auto" w:fill="auto"/>
            <w:vAlign w:val="center"/>
          </w:tcPr>
          <w:p w14:paraId="7FB3F100" w14:textId="77777777" w:rsidR="00F12BAA" w:rsidRPr="00F96440" w:rsidRDefault="00F12BAA" w:rsidP="007B1BC1">
            <w:pPr>
              <w:spacing w:before="60" w:after="60" w:line="288" w:lineRule="auto"/>
              <w:ind w:left="57"/>
              <w:jc w:val="right"/>
              <w:rPr>
                <w:b/>
                <w:sz w:val="20"/>
                <w:szCs w:val="20"/>
              </w:rPr>
            </w:pPr>
            <w:r w:rsidRPr="00F96440">
              <w:rPr>
                <w:b/>
                <w:sz w:val="20"/>
                <w:szCs w:val="20"/>
              </w:rPr>
              <w:t>Ley Electoral:</w:t>
            </w:r>
          </w:p>
        </w:tc>
        <w:tc>
          <w:tcPr>
            <w:tcW w:w="2958" w:type="pct"/>
            <w:shd w:val="clear" w:color="auto" w:fill="auto"/>
            <w:vAlign w:val="center"/>
          </w:tcPr>
          <w:p w14:paraId="3531949F" w14:textId="77777777" w:rsidR="00F12BAA" w:rsidRPr="00F96440" w:rsidRDefault="00F12BAA" w:rsidP="007B1BC1">
            <w:pPr>
              <w:spacing w:before="60" w:after="60" w:line="288" w:lineRule="auto"/>
              <w:ind w:left="57"/>
              <w:rPr>
                <w:sz w:val="20"/>
                <w:szCs w:val="20"/>
              </w:rPr>
            </w:pPr>
            <w:r w:rsidRPr="00F96440">
              <w:rPr>
                <w:sz w:val="20"/>
                <w:szCs w:val="20"/>
              </w:rPr>
              <w:t>Ley Electoral y de Partidos Políticos del Estado de Tabasco.</w:t>
            </w:r>
          </w:p>
        </w:tc>
      </w:tr>
      <w:tr w:rsidR="00514A78" w:rsidRPr="00F96440" w14:paraId="34E46C17" w14:textId="77777777" w:rsidTr="007B1BC1">
        <w:trPr>
          <w:trHeight w:val="624"/>
          <w:jc w:val="center"/>
        </w:trPr>
        <w:tc>
          <w:tcPr>
            <w:tcW w:w="2042" w:type="pct"/>
            <w:shd w:val="clear" w:color="auto" w:fill="auto"/>
            <w:vAlign w:val="center"/>
          </w:tcPr>
          <w:p w14:paraId="3208819F" w14:textId="77777777" w:rsidR="00F12BAA" w:rsidRPr="00F96440" w:rsidRDefault="00F12BAA" w:rsidP="007B1BC1">
            <w:pPr>
              <w:spacing w:before="60" w:after="60" w:line="288" w:lineRule="auto"/>
              <w:ind w:left="57"/>
              <w:jc w:val="right"/>
              <w:rPr>
                <w:b/>
                <w:sz w:val="20"/>
                <w:szCs w:val="20"/>
              </w:rPr>
            </w:pPr>
            <w:r w:rsidRPr="00F96440">
              <w:rPr>
                <w:b/>
                <w:sz w:val="20"/>
                <w:szCs w:val="20"/>
              </w:rPr>
              <w:t>Ley General:</w:t>
            </w:r>
          </w:p>
        </w:tc>
        <w:tc>
          <w:tcPr>
            <w:tcW w:w="2958" w:type="pct"/>
            <w:shd w:val="clear" w:color="auto" w:fill="auto"/>
            <w:vAlign w:val="center"/>
          </w:tcPr>
          <w:p w14:paraId="0B617579" w14:textId="77777777" w:rsidR="00F12BAA" w:rsidRPr="00F96440" w:rsidRDefault="00F12BAA" w:rsidP="007B1BC1">
            <w:pPr>
              <w:spacing w:before="60" w:after="60" w:line="288" w:lineRule="auto"/>
              <w:ind w:left="57"/>
              <w:rPr>
                <w:sz w:val="20"/>
                <w:szCs w:val="20"/>
              </w:rPr>
            </w:pPr>
            <w:r w:rsidRPr="00F96440">
              <w:rPr>
                <w:sz w:val="20"/>
                <w:szCs w:val="20"/>
              </w:rPr>
              <w:t>Ley General de Instituciones y Procedimientos Electorales.</w:t>
            </w:r>
          </w:p>
        </w:tc>
      </w:tr>
      <w:tr w:rsidR="00514A78" w:rsidRPr="00F96440" w14:paraId="6CCD2E5D" w14:textId="77777777" w:rsidTr="007B1BC1">
        <w:trPr>
          <w:trHeight w:val="624"/>
          <w:jc w:val="center"/>
        </w:trPr>
        <w:tc>
          <w:tcPr>
            <w:tcW w:w="2042" w:type="pct"/>
            <w:shd w:val="clear" w:color="auto" w:fill="auto"/>
            <w:vAlign w:val="center"/>
          </w:tcPr>
          <w:p w14:paraId="3A136C9F" w14:textId="77777777" w:rsidR="00F12BAA" w:rsidRPr="00F96440" w:rsidRDefault="00F12BAA" w:rsidP="007B1BC1">
            <w:pPr>
              <w:spacing w:before="60" w:after="60" w:line="288" w:lineRule="auto"/>
              <w:ind w:left="57"/>
              <w:jc w:val="right"/>
              <w:rPr>
                <w:b/>
                <w:sz w:val="20"/>
                <w:szCs w:val="20"/>
              </w:rPr>
            </w:pPr>
            <w:r w:rsidRPr="00F96440">
              <w:rPr>
                <w:b/>
                <w:sz w:val="20"/>
                <w:szCs w:val="20"/>
              </w:rPr>
              <w:t>Organismo electoral:</w:t>
            </w:r>
          </w:p>
        </w:tc>
        <w:tc>
          <w:tcPr>
            <w:tcW w:w="2958" w:type="pct"/>
            <w:shd w:val="clear" w:color="auto" w:fill="auto"/>
            <w:vAlign w:val="center"/>
          </w:tcPr>
          <w:p w14:paraId="163AE76E" w14:textId="77777777" w:rsidR="00F12BAA" w:rsidRPr="00F96440" w:rsidRDefault="00F12BAA" w:rsidP="007B1BC1">
            <w:pPr>
              <w:spacing w:before="60" w:after="60" w:line="288" w:lineRule="auto"/>
              <w:ind w:left="57"/>
              <w:rPr>
                <w:sz w:val="20"/>
                <w:szCs w:val="20"/>
              </w:rPr>
            </w:pPr>
            <w:r w:rsidRPr="00F96440">
              <w:rPr>
                <w:sz w:val="20"/>
                <w:szCs w:val="20"/>
              </w:rPr>
              <w:t xml:space="preserve">Organismo(s) público(s) local(es) electoral(es). </w:t>
            </w:r>
          </w:p>
        </w:tc>
      </w:tr>
      <w:tr w:rsidR="00514A78" w:rsidRPr="00F96440" w14:paraId="2A7195BA" w14:textId="77777777" w:rsidTr="007B1BC1">
        <w:trPr>
          <w:trHeight w:val="624"/>
          <w:jc w:val="center"/>
        </w:trPr>
        <w:tc>
          <w:tcPr>
            <w:tcW w:w="2042" w:type="pct"/>
            <w:shd w:val="clear" w:color="auto" w:fill="auto"/>
            <w:vAlign w:val="center"/>
          </w:tcPr>
          <w:p w14:paraId="1678A9F6" w14:textId="77777777" w:rsidR="00F12BAA" w:rsidRPr="00F96440" w:rsidRDefault="00F12BAA" w:rsidP="007B1BC1">
            <w:pPr>
              <w:spacing w:before="60" w:after="60" w:line="288" w:lineRule="auto"/>
              <w:ind w:left="57"/>
              <w:jc w:val="right"/>
              <w:rPr>
                <w:b/>
                <w:sz w:val="20"/>
                <w:szCs w:val="20"/>
              </w:rPr>
            </w:pPr>
            <w:r w:rsidRPr="00F96440">
              <w:rPr>
                <w:b/>
                <w:sz w:val="20"/>
                <w:szCs w:val="20"/>
              </w:rPr>
              <w:t>Secretaría Ejecutiva:</w:t>
            </w:r>
          </w:p>
        </w:tc>
        <w:tc>
          <w:tcPr>
            <w:tcW w:w="2958" w:type="pct"/>
            <w:shd w:val="clear" w:color="auto" w:fill="auto"/>
            <w:vAlign w:val="center"/>
          </w:tcPr>
          <w:p w14:paraId="2E1D05BB" w14:textId="77777777" w:rsidR="00F12BAA" w:rsidRPr="00F96440" w:rsidRDefault="00F12BAA" w:rsidP="007B1BC1">
            <w:pPr>
              <w:spacing w:before="60" w:after="60" w:line="288" w:lineRule="auto"/>
              <w:ind w:left="57"/>
              <w:rPr>
                <w:sz w:val="20"/>
                <w:szCs w:val="20"/>
              </w:rPr>
            </w:pPr>
            <w:r w:rsidRPr="00F96440">
              <w:rPr>
                <w:sz w:val="20"/>
                <w:szCs w:val="20"/>
              </w:rPr>
              <w:t>Secretaría Ejecutiva del Instituto Electoral y de Participación Ciudadana de Tabasco.</w:t>
            </w:r>
          </w:p>
        </w:tc>
      </w:tr>
      <w:tr w:rsidR="00EC2E51" w:rsidRPr="00514A78" w14:paraId="79687A71" w14:textId="77777777" w:rsidTr="007B1BC1">
        <w:trPr>
          <w:trHeight w:val="624"/>
          <w:jc w:val="center"/>
        </w:trPr>
        <w:tc>
          <w:tcPr>
            <w:tcW w:w="2042" w:type="pct"/>
            <w:shd w:val="clear" w:color="auto" w:fill="auto"/>
            <w:vAlign w:val="center"/>
          </w:tcPr>
          <w:p w14:paraId="1C054D66" w14:textId="42CB3AB2" w:rsidR="00EC2E51" w:rsidRPr="00F96440" w:rsidRDefault="00EC2E51" w:rsidP="007B1BC1">
            <w:pPr>
              <w:spacing w:before="60" w:after="60" w:line="288" w:lineRule="auto"/>
              <w:ind w:left="57"/>
              <w:jc w:val="right"/>
              <w:rPr>
                <w:b/>
                <w:sz w:val="20"/>
                <w:szCs w:val="20"/>
              </w:rPr>
            </w:pPr>
            <w:r w:rsidRPr="00F96440">
              <w:rPr>
                <w:b/>
                <w:sz w:val="20"/>
                <w:szCs w:val="20"/>
              </w:rPr>
              <w:t>Proceso Electoral:</w:t>
            </w:r>
          </w:p>
        </w:tc>
        <w:tc>
          <w:tcPr>
            <w:tcW w:w="2958" w:type="pct"/>
            <w:shd w:val="clear" w:color="auto" w:fill="auto"/>
            <w:vAlign w:val="center"/>
          </w:tcPr>
          <w:p w14:paraId="1276FA2E" w14:textId="76EAC309" w:rsidR="00EC2E51" w:rsidRPr="00F96440" w:rsidRDefault="00EC2E51" w:rsidP="007B1BC1">
            <w:pPr>
              <w:spacing w:before="60" w:after="60" w:line="288" w:lineRule="auto"/>
              <w:ind w:left="57"/>
              <w:rPr>
                <w:sz w:val="20"/>
                <w:szCs w:val="20"/>
              </w:rPr>
            </w:pPr>
            <w:r w:rsidRPr="00F96440">
              <w:rPr>
                <w:sz w:val="20"/>
                <w:szCs w:val="20"/>
              </w:rPr>
              <w:t>Proceso Electoral Local Electoral 2023 – 2024.</w:t>
            </w:r>
          </w:p>
        </w:tc>
      </w:tr>
    </w:tbl>
    <w:p w14:paraId="31561227" w14:textId="77777777" w:rsidR="00D8479E" w:rsidRPr="00F96440" w:rsidRDefault="00D8479E" w:rsidP="006C405D">
      <w:pPr>
        <w:pStyle w:val="Ttulo1"/>
        <w:rPr>
          <w:sz w:val="24"/>
          <w:szCs w:val="24"/>
        </w:rPr>
      </w:pPr>
      <w:r w:rsidRPr="00F96440">
        <w:rPr>
          <w:sz w:val="24"/>
          <w:szCs w:val="24"/>
        </w:rPr>
        <w:lastRenderedPageBreak/>
        <w:t>Antecedentes</w:t>
      </w:r>
    </w:p>
    <w:p w14:paraId="7FEBDEC5" w14:textId="5AA54FAC" w:rsidR="0010636E" w:rsidRPr="00F96440" w:rsidRDefault="0010636E" w:rsidP="002222F7">
      <w:pPr>
        <w:pStyle w:val="Ttulo2"/>
      </w:pPr>
      <w:r w:rsidRPr="00F96440">
        <w:t>Tope de gastos para la elección a la Gubernatura 2017 – 2018</w:t>
      </w:r>
    </w:p>
    <w:p w14:paraId="16CE2FD1" w14:textId="77777777" w:rsidR="0010636E" w:rsidRPr="00F96440" w:rsidRDefault="0010636E" w:rsidP="004E7C4D">
      <w:r w:rsidRPr="00F96440">
        <w:t>El 30 de octubre de 2017, mediante acuerdo CE/2017/045, el Consejo Estatal determinó la cantidad de $20´488,184.16 (veinte millones cuatrocientos ochenta y ocho mil ciento ochenta y cuatro pesos 16/100 m. n.) como tope de gastos de campaña para la elección a la Gubernatura, con motivo del Proceso Electoral Local Ordinario 2017 – 2018.</w:t>
      </w:r>
    </w:p>
    <w:p w14:paraId="7F0D2F53" w14:textId="77777777" w:rsidR="0010636E" w:rsidRPr="00F96440" w:rsidRDefault="0010636E" w:rsidP="002222F7">
      <w:pPr>
        <w:pStyle w:val="Ttulo2"/>
      </w:pPr>
      <w:r w:rsidRPr="00F96440">
        <w:t>Tope de gastos para la elección de diputaciones 2020 – 2021</w:t>
      </w:r>
    </w:p>
    <w:p w14:paraId="37DD9184" w14:textId="325ED958" w:rsidR="0010636E" w:rsidRPr="00F96440" w:rsidRDefault="0010636E" w:rsidP="004E7C4D">
      <w:r w:rsidRPr="00F96440">
        <w:t>El 30 de marzo de 2021, en virtud de la redistribución del financiamiento público local correspondiente al ejercicio 2021 realizada con motivo de la acreditación y participación de los partidos políticos: Acción Nacional, del Trabajo y Movimiento Ciudadano, el Consejo Estatal mediante acuerdo CE/2021/023</w:t>
      </w:r>
      <w:r w:rsidR="004E7C4D" w:rsidRPr="00F96440">
        <w:t xml:space="preserve"> </w:t>
      </w:r>
      <w:r w:rsidRPr="00F96440">
        <w:t>determinó la cantidad de $7’316,085.96 (siete millones trescientos dieciséis mil ochenta y cinco pesos 96/100 m. n.) como tope máximo de gastos de campaña para la elección de diputaciones y presidencias municipales y regidurías por mayoría relativa durante el Proceso Electoral Local Ordinario 2020–2021.</w:t>
      </w:r>
    </w:p>
    <w:p w14:paraId="4A24534A" w14:textId="77777777" w:rsidR="0010636E" w:rsidRPr="00F96440" w:rsidRDefault="0010636E" w:rsidP="002222F7">
      <w:pPr>
        <w:pStyle w:val="Ttulo2"/>
      </w:pPr>
      <w:proofErr w:type="spellStart"/>
      <w:r w:rsidRPr="00F96440">
        <w:t>Distritación</w:t>
      </w:r>
      <w:proofErr w:type="spellEnd"/>
      <w:r w:rsidRPr="00F96440">
        <w:t xml:space="preserve"> Electoral</w:t>
      </w:r>
    </w:p>
    <w:p w14:paraId="6E9C0BA8" w14:textId="77777777" w:rsidR="0010636E" w:rsidRPr="00F96440" w:rsidRDefault="0010636E" w:rsidP="004E7C4D">
      <w:r w:rsidRPr="00F96440">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13AC6E3C" w14:textId="69283B3D" w:rsidR="0010636E" w:rsidRPr="00F96440" w:rsidRDefault="0010636E" w:rsidP="002222F7">
      <w:pPr>
        <w:pStyle w:val="Ttulo2"/>
      </w:pPr>
      <w:r w:rsidRPr="00F96440">
        <w:t>Homologación de plazos y fechas en los procesos electorales locales concurrentes</w:t>
      </w:r>
    </w:p>
    <w:p w14:paraId="590DB0DD" w14:textId="77777777" w:rsidR="0010636E" w:rsidRPr="00F96440" w:rsidRDefault="0010636E" w:rsidP="004E7C4D">
      <w:r w:rsidRPr="00F96440">
        <w:t xml:space="preserve">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w:t>
      </w:r>
      <w:r w:rsidRPr="00F96440">
        <w:lastRenderedPageBreak/>
        <w:t>los procesos electorales locales concurrentes con el Proceso Electoral Federal 2023 – 2024.</w:t>
      </w:r>
    </w:p>
    <w:p w14:paraId="7D46E98B" w14:textId="534AEB68" w:rsidR="0010636E" w:rsidRPr="00F96440" w:rsidRDefault="004E7C4D" w:rsidP="002222F7">
      <w:pPr>
        <w:pStyle w:val="Ttulo2"/>
      </w:pPr>
      <w:r w:rsidRPr="00F96440">
        <w:t xml:space="preserve">Plan integral y calendario de coordinación </w:t>
      </w:r>
    </w:p>
    <w:p w14:paraId="247A82D7" w14:textId="35E5CB36" w:rsidR="0010636E" w:rsidRPr="00F96440" w:rsidRDefault="0010636E" w:rsidP="004E7C4D">
      <w:r w:rsidRPr="00F96440">
        <w:t xml:space="preserve">En la fecha que antecede, el Consejo General del INE aprobó el acuerdo INE/CG446/2023 relativo al Plan Integral y los </w:t>
      </w:r>
      <w:r w:rsidR="004E7C4D" w:rsidRPr="00F96440">
        <w:t xml:space="preserve">calendarios de coordinación </w:t>
      </w:r>
      <w:r w:rsidRPr="00F96440">
        <w:t>de los Procesos Electorales Locales concurrentes con el Federal 2023 – 2024, determinando las actividades y plazos que deberán observar de forma conjunta con los organismos electorales para el desarrollo de sus respectivos procesos electorales.</w:t>
      </w:r>
    </w:p>
    <w:p w14:paraId="4D330472" w14:textId="1D4008E2" w:rsidR="00C85F74" w:rsidRPr="00F96440" w:rsidRDefault="00D047BD" w:rsidP="002222F7">
      <w:pPr>
        <w:pStyle w:val="Ttulo2"/>
      </w:pPr>
      <w:r w:rsidRPr="00F96440">
        <w:t>Padrón de electores y l</w:t>
      </w:r>
      <w:r w:rsidR="00C85F74" w:rsidRPr="00F96440">
        <w:t>istado nominal</w:t>
      </w:r>
      <w:r w:rsidRPr="00F96440">
        <w:t xml:space="preserve">  </w:t>
      </w:r>
    </w:p>
    <w:p w14:paraId="5096A067" w14:textId="5E85863D" w:rsidR="00AB485F" w:rsidRPr="00F96440" w:rsidRDefault="00C85F74" w:rsidP="00AB485F">
      <w:r w:rsidRPr="00F96440">
        <w:t>El 7 de agosto de 2023, la Vocal del Registro Federal de Electores, en respuesta al oficio SE/</w:t>
      </w:r>
      <w:r w:rsidR="003D3F4A" w:rsidRPr="00F96440">
        <w:t>0</w:t>
      </w:r>
      <w:r w:rsidRPr="00F96440">
        <w:t>17/2023 suscrito por el Secretario Ejecutivo, proporcionó la información relativa al padrón electoral y la lista nominal de electores del estado de Tabasco, con fecha de corte al 31 de julio de 2023</w:t>
      </w:r>
      <w:r w:rsidR="00AB485F" w:rsidRPr="00F96440">
        <w:t xml:space="preserve">, de la que se obtuvo que la ciudadanía inscrita en ésta última es de </w:t>
      </w:r>
      <w:r w:rsidR="00B65AB2" w:rsidRPr="00F96440">
        <w:t>1,775,194</w:t>
      </w:r>
      <w:r w:rsidR="00AB485F" w:rsidRPr="00F96440">
        <w:t xml:space="preserve"> (un millón setecientos setenta y </w:t>
      </w:r>
      <w:proofErr w:type="gramStart"/>
      <w:r w:rsidR="00B65AB2" w:rsidRPr="00F96440">
        <w:t>cinco</w:t>
      </w:r>
      <w:r w:rsidR="00AB485F" w:rsidRPr="00F96440">
        <w:t xml:space="preserve"> mil </w:t>
      </w:r>
      <w:r w:rsidR="00B65AB2" w:rsidRPr="00F96440">
        <w:t>ciento</w:t>
      </w:r>
      <w:proofErr w:type="gramEnd"/>
      <w:r w:rsidR="00B65AB2" w:rsidRPr="00F96440">
        <w:t xml:space="preserve"> noventa y cuatro</w:t>
      </w:r>
      <w:r w:rsidR="00AB485F" w:rsidRPr="00F96440">
        <w:t>).</w:t>
      </w:r>
    </w:p>
    <w:p w14:paraId="47FC72CB" w14:textId="77777777" w:rsidR="0010636E" w:rsidRPr="00F96440" w:rsidRDefault="0010636E" w:rsidP="002222F7">
      <w:pPr>
        <w:pStyle w:val="Ttulo2"/>
      </w:pPr>
      <w:r w:rsidRPr="00F96440">
        <w:t>Calendario Electoral</w:t>
      </w:r>
    </w:p>
    <w:p w14:paraId="3ACCADCA" w14:textId="77777777" w:rsidR="0010636E" w:rsidRPr="00F96440" w:rsidRDefault="0010636E" w:rsidP="004E7C4D">
      <w:r w:rsidRPr="00F96440">
        <w:t>El 29 de septiembre de 2023, mediante acuerdo CE/2023/021, el Consejo Estatal aprobó el calendario electoral para el Proceso Electoral.</w:t>
      </w:r>
    </w:p>
    <w:p w14:paraId="5933E244" w14:textId="77777777" w:rsidR="0010636E" w:rsidRPr="00F96440" w:rsidRDefault="0010636E" w:rsidP="002222F7">
      <w:pPr>
        <w:pStyle w:val="Ttulo2"/>
      </w:pPr>
      <w:r w:rsidRPr="00F96440">
        <w:t>Inicio del Proceso Electoral</w:t>
      </w:r>
    </w:p>
    <w:p w14:paraId="367C3A46" w14:textId="77777777" w:rsidR="0010636E" w:rsidRPr="00F96440" w:rsidRDefault="0010636E" w:rsidP="004E7C4D">
      <w:r w:rsidRPr="00F96440">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56D454AA" w14:textId="7B5543F7" w:rsidR="0010636E" w:rsidRPr="00F96440" w:rsidRDefault="0010636E" w:rsidP="002222F7">
      <w:pPr>
        <w:pStyle w:val="Ttulo2"/>
      </w:pPr>
      <w:r w:rsidRPr="00F96440">
        <w:t xml:space="preserve">Jornada </w:t>
      </w:r>
      <w:r w:rsidR="004E7C4D" w:rsidRPr="00F96440">
        <w:t>e</w:t>
      </w:r>
      <w:r w:rsidRPr="00F96440">
        <w:t>lectoral</w:t>
      </w:r>
    </w:p>
    <w:p w14:paraId="2AC0D14E" w14:textId="77777777" w:rsidR="0010636E" w:rsidRPr="00F96440" w:rsidRDefault="0010636E" w:rsidP="004E7C4D">
      <w:r w:rsidRPr="00F96440">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28567D3A" w14:textId="77777777" w:rsidR="0010636E" w:rsidRPr="00F96440" w:rsidRDefault="0010636E" w:rsidP="006C405D">
      <w:pPr>
        <w:pStyle w:val="Ttulo1"/>
        <w:rPr>
          <w:sz w:val="24"/>
          <w:szCs w:val="24"/>
        </w:rPr>
      </w:pPr>
      <w:r w:rsidRPr="00F96440">
        <w:rPr>
          <w:sz w:val="24"/>
          <w:szCs w:val="24"/>
        </w:rPr>
        <w:t>Considerando</w:t>
      </w:r>
    </w:p>
    <w:p w14:paraId="190ED1E5" w14:textId="77777777" w:rsidR="0010636E" w:rsidRPr="00514A78" w:rsidRDefault="0010636E" w:rsidP="002222F7">
      <w:pPr>
        <w:pStyle w:val="Ttulo2"/>
      </w:pPr>
      <w:r w:rsidRPr="00514A78">
        <w:t xml:space="preserve">Fines del Instituto </w:t>
      </w:r>
    </w:p>
    <w:p w14:paraId="6896FE07" w14:textId="77777777" w:rsidR="0010636E" w:rsidRPr="00514A78" w:rsidRDefault="0010636E" w:rsidP="004E7C4D">
      <w:r w:rsidRPr="00514A78">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039C4975" w14:textId="77777777" w:rsidR="0010636E" w:rsidRPr="00514A78" w:rsidRDefault="0010636E" w:rsidP="004E7C4D">
      <w:r w:rsidRPr="00514A78">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DBACB19" w14:textId="77777777" w:rsidR="0010636E" w:rsidRPr="00514A78" w:rsidRDefault="0010636E" w:rsidP="002222F7">
      <w:pPr>
        <w:pStyle w:val="Ttulo2"/>
      </w:pPr>
      <w:r w:rsidRPr="00514A78">
        <w:t xml:space="preserve">Órganos Centrales del Instituto </w:t>
      </w:r>
    </w:p>
    <w:p w14:paraId="220E3D66" w14:textId="77777777" w:rsidR="0010636E" w:rsidRPr="00514A78" w:rsidRDefault="0010636E" w:rsidP="004E7C4D">
      <w:r w:rsidRPr="00514A78">
        <w:t>Que, el artículo 105 de la Ley Electoral, señala que el Consejo Estatal; la Presidencia del Consejo Estatal; la Junta Estatal Ejecutiva, la Secretaría Ejecutiva y el Órgano Técnico de Fiscalización, constituyen los órganos centrales del Instituto.</w:t>
      </w:r>
    </w:p>
    <w:p w14:paraId="17563831" w14:textId="77777777" w:rsidR="0010636E" w:rsidRPr="00514A78" w:rsidRDefault="0010636E" w:rsidP="002222F7">
      <w:pPr>
        <w:pStyle w:val="Ttulo2"/>
      </w:pPr>
      <w:r w:rsidRPr="00514A78">
        <w:t xml:space="preserve">Órgano Superior de Dirección del Instituto </w:t>
      </w:r>
    </w:p>
    <w:p w14:paraId="61B663E0" w14:textId="77777777" w:rsidR="0010636E" w:rsidRPr="00514A78" w:rsidRDefault="0010636E" w:rsidP="004E7C4D">
      <w:r w:rsidRPr="00514A78">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2D226B6F" w14:textId="77777777" w:rsidR="0010636E" w:rsidRPr="00514A78" w:rsidRDefault="0010636E" w:rsidP="002222F7">
      <w:pPr>
        <w:pStyle w:val="Ttulo2"/>
      </w:pPr>
      <w:r w:rsidRPr="00514A78">
        <w:t>Integración del Órgano de Dirección Superior</w:t>
      </w:r>
    </w:p>
    <w:p w14:paraId="1C8039BF" w14:textId="77777777" w:rsidR="0010636E" w:rsidRPr="00514A78" w:rsidRDefault="0010636E" w:rsidP="004E7C4D">
      <w:r w:rsidRPr="00514A78">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354E44F2" w14:textId="22C34423" w:rsidR="0010636E" w:rsidRPr="00514A78" w:rsidRDefault="0010636E" w:rsidP="002222F7">
      <w:pPr>
        <w:pStyle w:val="Ttulo2"/>
      </w:pPr>
      <w:r w:rsidRPr="00514A78">
        <w:t>Órgano garante del financiamiento público a los partidos políticos</w:t>
      </w:r>
    </w:p>
    <w:p w14:paraId="5F484072" w14:textId="16B7C312" w:rsidR="0010636E" w:rsidRPr="00514A78" w:rsidRDefault="0010636E" w:rsidP="004E7C4D">
      <w:r w:rsidRPr="00514A78">
        <w:t>Que, conforme a lo dispuesto por el artículo 104, numeral 1, incisos b) y c) de la Ley General, corresponde a los organismos públicos locales, entre otras, garantizar los derechos y el acceso a las prerrogativas de los partidos políticos y candidaturas; así como la ministración oportuna del financiamiento público a que tienen derecho los partidos políticos nacionales y locales.</w:t>
      </w:r>
    </w:p>
    <w:p w14:paraId="7E34259B" w14:textId="77777777" w:rsidR="0010636E" w:rsidRPr="00514A78" w:rsidRDefault="0010636E" w:rsidP="002222F7">
      <w:pPr>
        <w:pStyle w:val="Ttulo2"/>
      </w:pPr>
      <w:r w:rsidRPr="00514A78">
        <w:t>Competencia del Consejo Estatal</w:t>
      </w:r>
    </w:p>
    <w:p w14:paraId="7499966D" w14:textId="77777777" w:rsidR="0010636E" w:rsidRPr="00514A78" w:rsidRDefault="0010636E" w:rsidP="004E7C4D">
      <w:r w:rsidRPr="00514A78">
        <w:t>Que, de conformidad con el artículo 115, numeral 1, fracción XIX de la Ley Electoral, corresponde al Consejo Estatal determinar el tope máximo de los gastos de precampaña y campaña que puedan erogarse en las elecciones a la Gubernatura, Diputaciones, Presidencias Municipales y Regidurías.</w:t>
      </w:r>
    </w:p>
    <w:p w14:paraId="432CCABC" w14:textId="77777777" w:rsidR="0010636E" w:rsidRPr="00514A78" w:rsidRDefault="0010636E" w:rsidP="004E7C4D">
      <w:r w:rsidRPr="00514A78">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076D5CD3" w14:textId="77777777" w:rsidR="0010636E" w:rsidRPr="00514A78" w:rsidRDefault="0010636E" w:rsidP="002222F7">
      <w:pPr>
        <w:pStyle w:val="Ttulo2"/>
      </w:pPr>
      <w:r w:rsidRPr="00514A78">
        <w:t>Fines de los partidos políticos</w:t>
      </w:r>
    </w:p>
    <w:p w14:paraId="098ED221" w14:textId="77777777" w:rsidR="0010636E" w:rsidRPr="00514A78" w:rsidRDefault="0010636E" w:rsidP="004E7C4D">
      <w:r w:rsidRPr="00514A78">
        <w:t>Que, de conformidad con los artículos 41 fracción I de la Constitución Federal y 3 numeral 1 de la Ley de Partidos, los partidos políticos son entidades de interés público con personalidad jurídica y patrimonio propios, y tienen como fin promover la participación del pueblo en la vida democrática, contribuir a la integración de los órganos de representación política y, como organizaciones de ciudadanos, hacer posible el acceso de éstos al ejercicio del poder público.</w:t>
      </w:r>
    </w:p>
    <w:p w14:paraId="471FEB25" w14:textId="77777777" w:rsidR="0010636E" w:rsidRPr="00514A78" w:rsidRDefault="0010636E" w:rsidP="004E7C4D">
      <w:r w:rsidRPr="00514A78">
        <w:t>Asimismo, en términos de los artículos 9 apartado A, fracción I, párrafo segundo, de la Constitución Local y 33, numeral 4 de la Ley Electoral, los partidos políticos, hacen posible el acceso de la ciudadanía al ejercicio del poder público, de acuerdo con los programas, principios e ideas que postulan y mediante el sufragio universal, libre, secreto, directo, personal e intransferible; inclusive a través de distintas formas de participación o asociación, con el fin de postular candidaturas, conforme lo señala el artículo 85, numeral 5, de la Ley de Partidos.</w:t>
      </w:r>
    </w:p>
    <w:p w14:paraId="2E8CD55B" w14:textId="77777777" w:rsidR="0010636E" w:rsidRPr="00514A78" w:rsidRDefault="0010636E" w:rsidP="002222F7">
      <w:pPr>
        <w:pStyle w:val="Ttulo2"/>
      </w:pPr>
      <w:r w:rsidRPr="00514A78">
        <w:t>Derecho al financiamiento público de los partidos políticos</w:t>
      </w:r>
    </w:p>
    <w:p w14:paraId="6BE1D654" w14:textId="77777777" w:rsidR="0010636E" w:rsidRPr="00514A78" w:rsidRDefault="0010636E" w:rsidP="004E7C4D">
      <w:r w:rsidRPr="00514A78">
        <w:t>Que, el artículo 41, Base II, párrafo primero de la Constitución Federal establece que, la ley garantizará que los partidos políticos cuenten de manera equitativa con elementos para llevar a cabo sus actividades y señalará las reglas a que se sujetará su financiamiento.</w:t>
      </w:r>
    </w:p>
    <w:p w14:paraId="51E83F4A" w14:textId="77777777" w:rsidR="0010636E" w:rsidRPr="00514A78" w:rsidRDefault="0010636E" w:rsidP="004E7C4D">
      <w:r w:rsidRPr="00514A78">
        <w:t>Asimismo, de acuerdo con el artículo 116, Base IV, inciso g) de la Constitución Federal, de conformidad con las bases establecidas en la propia Constitución y las leyes generales en la materia, las Constituciones y leyes de los estados en materia electoral, garantizarán que los partidos políticos reciban, en forma equitativa, financiamiento público para sus actividades ordinarias permanentes y las tendientes a la obtención del voto durante los procesos electorales.</w:t>
      </w:r>
    </w:p>
    <w:p w14:paraId="55D0CD94" w14:textId="77777777" w:rsidR="0010636E" w:rsidRPr="00514A78" w:rsidRDefault="0010636E" w:rsidP="004E7C4D">
      <w:r w:rsidRPr="00514A78">
        <w:t>Por su parte, la Constitución Local en su artículo 9, Apartado A, fracciones VII y VIII, establece que la ley garantizará que los partidos políticos nacionales y locales cuenten de manera equitativa con elementos para llevar a cabo sus actividades y señalará las reglas a que se sujetará su financiamiento, el cual se compondrá de las ministraciones destinadas al sostenimiento de sus actividades ordinarias permanentes, actividades de carácter específico y actividades tendentes a la obtención del voto durante procesos electorales.</w:t>
      </w:r>
    </w:p>
    <w:p w14:paraId="2D49F3A7" w14:textId="77777777" w:rsidR="0010636E" w:rsidRPr="00514A78" w:rsidRDefault="0010636E" w:rsidP="002222F7">
      <w:pPr>
        <w:pStyle w:val="Ttulo2"/>
      </w:pPr>
      <w:r w:rsidRPr="00514A78">
        <w:t xml:space="preserve">Financiamiento público para actividades tendentes a la obtención del voto. </w:t>
      </w:r>
    </w:p>
    <w:p w14:paraId="09152291" w14:textId="03F63E13" w:rsidR="0010636E" w:rsidRPr="00514A78" w:rsidRDefault="0010636E" w:rsidP="004E7C4D">
      <w:r w:rsidRPr="00514A78">
        <w:t>Que</w:t>
      </w:r>
      <w:r w:rsidR="00B83791" w:rsidRPr="00514A78">
        <w:t>,</w:t>
      </w:r>
      <w:r w:rsidRPr="00514A78">
        <w:t xml:space="preserve"> de conformidad con el artículo 9 apartado A</w:t>
      </w:r>
      <w:r w:rsidR="00B83791" w:rsidRPr="00514A78">
        <w:t>,</w:t>
      </w:r>
      <w:r w:rsidRPr="00514A78">
        <w:t xml:space="preserve"> fracción VIII, incisos b) y c), párrafo tercero de la Constitución Local, el financiamiento público para las actividades tendentes a la obtención del voto durante el año en que se elijan la Gubernatura del Estado, las diputaciones locales, las Presidencias Municipales y Regidurías, equivaldrá al cincuenta por ciento del financiamiento público que le corresponda a cada partido por actividades ordinarias en ese mismo año. De la misma forma, señala que, se establecerán los criterios para determinar las erogaciones en las precampañas cuyo monto será equivalente al veinte por ciento establecido para las campañas inmediatas anteriores, según la elección de que se trate.</w:t>
      </w:r>
    </w:p>
    <w:p w14:paraId="0ADBC070" w14:textId="77777777" w:rsidR="0010636E" w:rsidRPr="00514A78" w:rsidRDefault="0010636E" w:rsidP="002222F7">
      <w:pPr>
        <w:pStyle w:val="Ttulo2"/>
      </w:pPr>
      <w:r w:rsidRPr="00514A78">
        <w:t>Obligaciones de los partidos políticos en materia de financiamiento</w:t>
      </w:r>
    </w:p>
    <w:p w14:paraId="507F7CDD" w14:textId="77777777" w:rsidR="00B83791" w:rsidRPr="00514A78" w:rsidRDefault="0010636E" w:rsidP="004E7C4D">
      <w:r w:rsidRPr="00514A78">
        <w:t>Que</w:t>
      </w:r>
      <w:r w:rsidR="00B83791" w:rsidRPr="00514A78">
        <w:t>,</w:t>
      </w:r>
      <w:r w:rsidRPr="00514A78">
        <w:t xml:space="preserve"> el artículo 25 numeral 1 inciso n) de la Ley de Partidos, en concordancia con el dispositivo 56 numeral 1 fracción XVIII de la Ley Electoral, disponen </w:t>
      </w:r>
      <w:r w:rsidR="00B83791" w:rsidRPr="00514A78">
        <w:t xml:space="preserve">que es obligación de los </w:t>
      </w:r>
      <w:r w:rsidRPr="00514A78">
        <w:t xml:space="preserve">partidos políticos, </w:t>
      </w:r>
      <w:r w:rsidR="00B83791" w:rsidRPr="00514A78">
        <w:t>aplicar el financiamiento de que dispongan exclusivamente para los fines que les hayan sido entregados.</w:t>
      </w:r>
    </w:p>
    <w:p w14:paraId="58EDE3C1" w14:textId="77777777" w:rsidR="0010636E" w:rsidRPr="00514A78" w:rsidRDefault="0010636E" w:rsidP="002222F7">
      <w:pPr>
        <w:pStyle w:val="Ttulo2"/>
      </w:pPr>
      <w:r w:rsidRPr="00514A78">
        <w:t>Fiscalización de los recursos</w:t>
      </w:r>
    </w:p>
    <w:p w14:paraId="3947577A" w14:textId="6A2B4E08" w:rsidR="0010636E" w:rsidRPr="00514A78" w:rsidRDefault="0010636E" w:rsidP="004E7C4D">
      <w:r w:rsidRPr="00514A78">
        <w:t>Que</w:t>
      </w:r>
      <w:r w:rsidR="002B604F" w:rsidRPr="00514A78">
        <w:t>,</w:t>
      </w:r>
      <w:r w:rsidRPr="00514A78">
        <w:t xml:space="preserve"> </w:t>
      </w:r>
      <w:r w:rsidR="002B604F" w:rsidRPr="00514A78">
        <w:t xml:space="preserve">de acuerdo con </w:t>
      </w:r>
      <w:r w:rsidRPr="00514A78">
        <w:t>el artículo 41</w:t>
      </w:r>
      <w:r w:rsidR="002B604F" w:rsidRPr="00514A78">
        <w:t xml:space="preserve"> base V, apartado B, fracción </w:t>
      </w:r>
      <w:r w:rsidRPr="00514A78">
        <w:t>VII, penúltimo y último párrafos</w:t>
      </w:r>
      <w:r w:rsidR="002B604F" w:rsidRPr="00514A78">
        <w:t xml:space="preserve"> de la Constitución Federal, </w:t>
      </w:r>
      <w:r w:rsidRPr="00514A78">
        <w:t>corresponde al Consejo General del INE</w:t>
      </w:r>
      <w:r w:rsidR="002B604F" w:rsidRPr="00514A78">
        <w:t xml:space="preserve"> </w:t>
      </w:r>
      <w:r w:rsidRPr="00514A78">
        <w:t>la fiscalización de las finanzas de los partidos políticos</w:t>
      </w:r>
      <w:r w:rsidR="002B604F" w:rsidRPr="00514A78">
        <w:t xml:space="preserve"> y de las campañas de los candidatos</w:t>
      </w:r>
      <w:r w:rsidRPr="00514A78">
        <w:t xml:space="preserve"> relativas a los procesos electorales federal y locales</w:t>
      </w:r>
      <w:r w:rsidR="002B604F" w:rsidRPr="00514A78">
        <w:t>, para ello, no estará limitado por los secretos bancario, fiduciario y fiscal, y contará con el apoyo de las autoridades federales y locales</w:t>
      </w:r>
      <w:r w:rsidRPr="00514A78">
        <w:t>.</w:t>
      </w:r>
    </w:p>
    <w:p w14:paraId="00F3C089" w14:textId="77777777" w:rsidR="0010636E" w:rsidRPr="00514A78" w:rsidRDefault="0010636E" w:rsidP="002222F7">
      <w:pPr>
        <w:pStyle w:val="Ttulo2"/>
      </w:pPr>
      <w:r w:rsidRPr="00514A78">
        <w:t>Determinación del tipo de gastos de precampaña</w:t>
      </w:r>
    </w:p>
    <w:p w14:paraId="222DF9C0" w14:textId="52C7BFF1" w:rsidR="0010636E" w:rsidRPr="00514A78" w:rsidRDefault="0010636E" w:rsidP="004E7C4D">
      <w:r w:rsidRPr="00514A78">
        <w:t>Que, el artículo 75 de la Ley de Partidos dispone que, el Consejo General a propuesta de la Comisión de Fiscalización del INE y previo al inicio de las precampañas, determinará el tipo de gastos que serán estimados como de precampaña, de acuerdo con la naturaleza de las convocatorias emitidas por los partidos políticos.</w:t>
      </w:r>
    </w:p>
    <w:p w14:paraId="40C8FF6F" w14:textId="77777777" w:rsidR="0010636E" w:rsidRPr="00514A78" w:rsidRDefault="0010636E" w:rsidP="002222F7">
      <w:pPr>
        <w:pStyle w:val="Ttulo2"/>
      </w:pPr>
      <w:r w:rsidRPr="00514A78">
        <w:t xml:space="preserve">Informes de precampaña </w:t>
      </w:r>
    </w:p>
    <w:p w14:paraId="79FC145F" w14:textId="0147FA04" w:rsidR="0010636E" w:rsidRPr="00514A78" w:rsidRDefault="0010636E" w:rsidP="004E7C4D">
      <w:r w:rsidRPr="00514A78">
        <w:t xml:space="preserve">Que el artículo 79, numeral 1, inciso a) de la Ley de Partidos establece que los partidos políticos deberán presentar informes de precampaña </w:t>
      </w:r>
      <w:r w:rsidR="00E73B41" w:rsidRPr="00514A78">
        <w:t>los cuales deberán presentarse por cada uno de las y los precandidatos a cargos de elección popular que se registren para cada tipo de precampaña, a más tardar dentro de los diez días siguientes al de la conclusión de éstas, especificando el origen y monto de los ingresos, así como los gastos realizados.</w:t>
      </w:r>
    </w:p>
    <w:p w14:paraId="2D386FEF" w14:textId="54721E12" w:rsidR="00E73B41" w:rsidRPr="00514A78" w:rsidRDefault="00E73B41" w:rsidP="004E7C4D">
      <w:r w:rsidRPr="00514A78">
        <w:t>En ese tenor, las personas candidatas y precandidatas son responsables solidarias del cumplimiento de los informes de precampaña y campaña.</w:t>
      </w:r>
    </w:p>
    <w:p w14:paraId="76C3DB05" w14:textId="77777777" w:rsidR="004E7C4D" w:rsidRPr="00514A78" w:rsidRDefault="004E7C4D" w:rsidP="002222F7">
      <w:pPr>
        <w:pStyle w:val="Ttulo2"/>
      </w:pPr>
      <w:r w:rsidRPr="00514A78">
        <w:t>Duración de las precampañas y campañas</w:t>
      </w:r>
    </w:p>
    <w:p w14:paraId="52B636E4" w14:textId="1889FA85" w:rsidR="004E7C4D" w:rsidRPr="00514A78" w:rsidRDefault="004E7C4D" w:rsidP="004E7C4D">
      <w:r w:rsidRPr="00514A78">
        <w:t xml:space="preserve">Que, la fracción VI del apartado </w:t>
      </w:r>
      <w:r w:rsidR="00220D49">
        <w:t>“</w:t>
      </w:r>
      <w:r w:rsidRPr="00514A78">
        <w:t>A” del artículo 9 de la Constitución Local señala que, la duración de las campañas en el año de elecciones para renovar la Gubernatura, Diputaciones, Presidencias Municipales y Regidurías será de setenta y cinco días; en el año en que sólo se elijan Diputaciones locales y Ayuntamientos, las campañas serán de cuarenta y cinco días. Además, en ningún caso las precampañas excederán las dos terceras partes del tiempo previsto para las campañas electorales respectivas.</w:t>
      </w:r>
    </w:p>
    <w:p w14:paraId="3364AE35" w14:textId="77777777" w:rsidR="004E7C4D" w:rsidRPr="00514A78" w:rsidRDefault="004E7C4D" w:rsidP="002222F7">
      <w:pPr>
        <w:pStyle w:val="Ttulo2"/>
      </w:pPr>
      <w:r w:rsidRPr="00514A78">
        <w:t>Prevalencia de los recursos públicos sobre los de origen privado</w:t>
      </w:r>
    </w:p>
    <w:p w14:paraId="387BF7E1" w14:textId="77777777" w:rsidR="004E7C4D" w:rsidRPr="00514A78" w:rsidRDefault="004E7C4D" w:rsidP="004E7C4D">
      <w:r w:rsidRPr="00514A78">
        <w:t>Que, el artículo 9 apartado “A” fracción VII de la Constitución Local dispone que, La ley garantizará que los partidos políticos nacionales y locales cuenten de manera equitativa con elementos para llevar a cabo sus actividades y señalará las reglas a que se sujetará el financiamiento de los propios partidos para sus precampañas y sus campañas electorales, debiendo garantizar que los recursos públicos prevalezcan sobre los de origen privado.</w:t>
      </w:r>
    </w:p>
    <w:p w14:paraId="5EC0BECA" w14:textId="77777777" w:rsidR="004E7C4D" w:rsidRPr="00514A78" w:rsidRDefault="004E7C4D" w:rsidP="002222F7">
      <w:pPr>
        <w:pStyle w:val="Ttulo2"/>
      </w:pPr>
      <w:r w:rsidRPr="00514A78">
        <w:t>Límites a las erogaciones en precampañas</w:t>
      </w:r>
    </w:p>
    <w:p w14:paraId="23642BD1" w14:textId="77777777" w:rsidR="004E7C4D" w:rsidRPr="00514A78" w:rsidRDefault="004E7C4D" w:rsidP="004E7C4D">
      <w:r w:rsidRPr="00514A78">
        <w:t>Que, el artículo 9 apartado “A” fracción VIII, inciso c) tercer párrafo de la Constitución Local señala que, la Ley establecerá los criterios para determinar las erogaciones en las precampañas cuyo monto será equivalente al 20% (veinte por ciento) establecido para las campañas inmediatas anteriores, según la elección de que se trate.</w:t>
      </w:r>
    </w:p>
    <w:p w14:paraId="2C48B07E" w14:textId="77777777" w:rsidR="004E7C4D" w:rsidRPr="00514A78" w:rsidRDefault="004E7C4D" w:rsidP="002222F7">
      <w:pPr>
        <w:pStyle w:val="Ttulo2"/>
      </w:pPr>
      <w:r w:rsidRPr="00514A78">
        <w:t xml:space="preserve">Procesos internos de selección </w:t>
      </w:r>
    </w:p>
    <w:p w14:paraId="7BA79B93" w14:textId="77777777" w:rsidR="004E7C4D" w:rsidRPr="00514A78" w:rsidRDefault="004E7C4D" w:rsidP="004E7C4D">
      <w:r w:rsidRPr="00514A78">
        <w:t>Que, en términos del artículo 175 numeral 1 de la Ley Electoral, los procesos internos para la selección de candidaturas a cargos de elección popular son el conjunto de actividades que realizan los partidos políticos y las personas precandidatas a dichos cargos, de conformidad con lo establecido en dicha Ley, en los estatutos y en los reglamentos, acuerdos y demás disposiciones de carácter general que aprueben los órganos de dirección de cada partido político.</w:t>
      </w:r>
    </w:p>
    <w:p w14:paraId="68085361" w14:textId="77777777" w:rsidR="004E7C4D" w:rsidRPr="00514A78" w:rsidRDefault="004E7C4D" w:rsidP="002222F7">
      <w:pPr>
        <w:pStyle w:val="Ttulo2"/>
      </w:pPr>
      <w:r w:rsidRPr="00514A78">
        <w:t>Inicio de precampañas</w:t>
      </w:r>
    </w:p>
    <w:p w14:paraId="2273AF8B" w14:textId="1F9F6E8C" w:rsidR="004E7C4D" w:rsidRPr="00514A78" w:rsidRDefault="004E7C4D" w:rsidP="004E7C4D">
      <w:r w:rsidRPr="00514A78">
        <w:t xml:space="preserve">Que, </w:t>
      </w:r>
      <w:r w:rsidR="003D3F4A">
        <w:t xml:space="preserve">de acuerdo con </w:t>
      </w:r>
      <w:r w:rsidRPr="00514A78">
        <w:t>el artículo 176 numeral 3 de la Ley Electoral las precampañas, darán inicio al día siguiente de que se apruebe el registro interno de las precandidaturas. Las precampañas de todos los partidos deberán celebrarse dentro de los mismos plazos. Cuando un partido tenga prevista la celebración de sus elecciones de precandidaturas por consulta directa, la jornada se realizará el mismo día.</w:t>
      </w:r>
    </w:p>
    <w:p w14:paraId="0C76EC9B" w14:textId="42CE4880" w:rsidR="0014774A" w:rsidRPr="00514A78" w:rsidRDefault="0014774A" w:rsidP="0014774A">
      <w:r w:rsidRPr="00514A78">
        <w:t xml:space="preserve">En ese sentido, de acuerdo con el calendario de coordinación y el calendario electoral aprobado por este Consejo Estatal, el período de precampaña para las elecciones relativas a la Gubernatura del Estado, Diputaciones locales, Presidencias Municipales y Regidurías inicia el </w:t>
      </w:r>
      <w:r w:rsidRPr="00514A78">
        <w:rPr>
          <w:b/>
          <w:bCs/>
        </w:rPr>
        <w:t>15 de noviembre de 2023 y concluye el 3 de enero de 2024.</w:t>
      </w:r>
    </w:p>
    <w:p w14:paraId="4B223246" w14:textId="77777777" w:rsidR="004E7C4D" w:rsidRPr="00514A78" w:rsidRDefault="004E7C4D" w:rsidP="002222F7">
      <w:pPr>
        <w:pStyle w:val="Ttulo2"/>
      </w:pPr>
      <w:r w:rsidRPr="00514A78">
        <w:t>Determinación de los límites a los gastos de precampaña</w:t>
      </w:r>
    </w:p>
    <w:p w14:paraId="3B16960C" w14:textId="48085DB4" w:rsidR="004E7C4D" w:rsidRPr="00514A78" w:rsidRDefault="004E7C4D" w:rsidP="004E7C4D">
      <w:r w:rsidRPr="00B62AD4">
        <w:t>Que, conforme a las consideraciones anteriores, para determinar el límite o tope de gastos de precampaña a los que deben sujetarse los partidos políticos o coaliciones, debe aplicarse el 20% (veinte por ciento) sobre los montos establecidos para las campañas inmediatas anteriores, según la elección de que se trate, de conformidad el artículo 9, apartado A, fracción VIII, inciso c), párrafo tercero, de la Constitución Local. Para ello, las cantidades sobre las cuales se aplicará el porcentaje mencionado son</w:t>
      </w:r>
      <w:r w:rsidR="00E77913" w:rsidRPr="00B62AD4">
        <w:t xml:space="preserve"> las siguientes</w:t>
      </w:r>
      <w:r w:rsidRPr="00B62AD4">
        <w:t xml:space="preserve">: </w:t>
      </w:r>
      <w:r w:rsidRPr="00B62AD4">
        <w:rPr>
          <w:b/>
          <w:bCs/>
        </w:rPr>
        <w:t>$</w:t>
      </w:r>
      <w:r w:rsidR="00E77913" w:rsidRPr="00B62AD4">
        <w:rPr>
          <w:b/>
          <w:bCs/>
        </w:rPr>
        <w:t>20’488,184.16 (veinte millones cuatrocientos ochenta y ocho mil ciento ochenta y cuatro pesos 16/100 moneda nacional)</w:t>
      </w:r>
      <w:r w:rsidR="00E77913" w:rsidRPr="00B62AD4">
        <w:t xml:space="preserve"> </w:t>
      </w:r>
      <w:r w:rsidRPr="00B62AD4">
        <w:t xml:space="preserve">que corresponde al monto de campaña determinado para la elección a la Gubernatura del Estado durante el Proceso Electoral Local Ordinario 2017 – 2018 y </w:t>
      </w:r>
      <w:r w:rsidRPr="00B62AD4">
        <w:rPr>
          <w:b/>
          <w:bCs/>
        </w:rPr>
        <w:t>$</w:t>
      </w:r>
      <w:r w:rsidR="00E77913" w:rsidRPr="00B62AD4">
        <w:rPr>
          <w:b/>
          <w:bCs/>
        </w:rPr>
        <w:t>7’316,085.9</w:t>
      </w:r>
      <w:r w:rsidR="00B62AD4" w:rsidRPr="00B62AD4">
        <w:rPr>
          <w:b/>
          <w:bCs/>
        </w:rPr>
        <w:t>6</w:t>
      </w:r>
      <w:r w:rsidR="00E77913" w:rsidRPr="00B62AD4">
        <w:rPr>
          <w:b/>
          <w:bCs/>
        </w:rPr>
        <w:t xml:space="preserve"> (siete millones trescientos dieciséis mil ochenta y cinco pesos 9</w:t>
      </w:r>
      <w:r w:rsidR="00B62AD4" w:rsidRPr="00B62AD4">
        <w:rPr>
          <w:b/>
          <w:bCs/>
        </w:rPr>
        <w:t>6</w:t>
      </w:r>
      <w:r w:rsidR="00E77913" w:rsidRPr="00B62AD4">
        <w:rPr>
          <w:b/>
          <w:bCs/>
        </w:rPr>
        <w:t>/100 moneda nacional)</w:t>
      </w:r>
      <w:r w:rsidR="00E77913" w:rsidRPr="00B62AD4">
        <w:t xml:space="preserve"> </w:t>
      </w:r>
      <w:r w:rsidRPr="00B62AD4">
        <w:t>relativo a la elección para diputaciones, presidencias municipales y regidurías durante el Proceso Electoral Local Ordinario 2020 – 2021. Con base en ello, de acuerdo con las operaciones aritméticas</w:t>
      </w:r>
      <w:r w:rsidR="001151D3" w:rsidRPr="00B62AD4">
        <w:t xml:space="preserve"> los límites de gastos de precampaña son </w:t>
      </w:r>
      <w:r w:rsidRPr="00B62AD4">
        <w:t>los siguientes</w:t>
      </w:r>
      <w:r w:rsidR="00705084" w:rsidRPr="00B62AD4">
        <w:rPr>
          <w:rStyle w:val="Refdenotaalpie"/>
        </w:rPr>
        <w:footnoteReference w:id="1"/>
      </w:r>
      <w:r w:rsidRPr="00B62AD4">
        <w:t>:</w:t>
      </w:r>
    </w:p>
    <w:p w14:paraId="7552D6A1" w14:textId="77777777" w:rsidR="004E7C4D" w:rsidRPr="00514A78" w:rsidRDefault="004E7C4D" w:rsidP="009A0F9B">
      <w:pPr>
        <w:pStyle w:val="Ttulo3"/>
      </w:pPr>
      <w:r w:rsidRPr="00514A78">
        <w:t xml:space="preserve">Tope </w:t>
      </w:r>
      <w:r w:rsidRPr="009A0F9B">
        <w:t>de</w:t>
      </w:r>
      <w:r w:rsidRPr="00514A78">
        <w:t xml:space="preserve"> gastos de precampaña para la elección a la Gubernatura del Estado</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7"/>
        <w:gridCol w:w="1701"/>
        <w:gridCol w:w="3730"/>
      </w:tblGrid>
      <w:tr w:rsidR="00514A78" w:rsidRPr="00514A78" w14:paraId="2F7B2D32" w14:textId="77777777" w:rsidTr="00D437E8">
        <w:tc>
          <w:tcPr>
            <w:tcW w:w="3397" w:type="dxa"/>
            <w:shd w:val="clear" w:color="auto" w:fill="993366"/>
            <w:vAlign w:val="center"/>
          </w:tcPr>
          <w:p w14:paraId="0600D8ED" w14:textId="77777777" w:rsidR="004E7C4D" w:rsidRPr="00DE3330" w:rsidRDefault="004E7C4D" w:rsidP="00992217">
            <w:pPr>
              <w:spacing w:before="20" w:after="20"/>
              <w:jc w:val="center"/>
              <w:rPr>
                <w:b/>
                <w:bCs/>
                <w:color w:val="FFFFFF" w:themeColor="background1"/>
                <w:sz w:val="14"/>
                <w:szCs w:val="14"/>
              </w:rPr>
            </w:pPr>
            <w:r w:rsidRPr="00DE3330">
              <w:rPr>
                <w:b/>
                <w:bCs/>
                <w:color w:val="FFFFFF" w:themeColor="background1"/>
                <w:sz w:val="14"/>
                <w:szCs w:val="14"/>
              </w:rPr>
              <w:t>Tope de gastos de campaña para la elección de Gubernatura en el Proceso Electoral Local Ordinario 2017 – 2018 (CE/2017/045)</w:t>
            </w:r>
          </w:p>
        </w:tc>
        <w:tc>
          <w:tcPr>
            <w:tcW w:w="1701" w:type="dxa"/>
            <w:shd w:val="clear" w:color="auto" w:fill="993366"/>
            <w:vAlign w:val="center"/>
          </w:tcPr>
          <w:p w14:paraId="698EA814" w14:textId="77777777" w:rsidR="004E7C4D" w:rsidRPr="00DE3330" w:rsidRDefault="004E7C4D" w:rsidP="00992217">
            <w:pPr>
              <w:spacing w:before="20" w:after="20"/>
              <w:jc w:val="center"/>
              <w:rPr>
                <w:b/>
                <w:bCs/>
                <w:color w:val="FFFFFF" w:themeColor="background1"/>
                <w:sz w:val="14"/>
                <w:szCs w:val="14"/>
              </w:rPr>
            </w:pPr>
            <w:r w:rsidRPr="00DE3330">
              <w:rPr>
                <w:b/>
                <w:bCs/>
                <w:color w:val="FFFFFF" w:themeColor="background1"/>
                <w:sz w:val="14"/>
                <w:szCs w:val="14"/>
              </w:rPr>
              <w:t>Porcentaje</w:t>
            </w:r>
          </w:p>
        </w:tc>
        <w:tc>
          <w:tcPr>
            <w:tcW w:w="3730" w:type="dxa"/>
            <w:shd w:val="clear" w:color="auto" w:fill="993366"/>
            <w:vAlign w:val="center"/>
          </w:tcPr>
          <w:p w14:paraId="58A79139" w14:textId="25F46F77" w:rsidR="004E7C4D" w:rsidRPr="00DE3330" w:rsidRDefault="000E4250" w:rsidP="00992217">
            <w:pPr>
              <w:spacing w:before="20" w:after="20"/>
              <w:jc w:val="center"/>
              <w:rPr>
                <w:b/>
                <w:bCs/>
                <w:color w:val="FFFFFF" w:themeColor="background1"/>
                <w:sz w:val="14"/>
                <w:szCs w:val="14"/>
              </w:rPr>
            </w:pPr>
            <w:r w:rsidRPr="00DE3330">
              <w:rPr>
                <w:b/>
                <w:bCs/>
                <w:color w:val="FFFFFF" w:themeColor="background1"/>
                <w:sz w:val="14"/>
                <w:szCs w:val="14"/>
              </w:rPr>
              <w:t>Límite o tope máximo de gastos de precampaña para la elección a la Gubernatura del Estado con motivo del Proceso Electoral 2023 - 2024</w:t>
            </w:r>
          </w:p>
        </w:tc>
      </w:tr>
      <w:tr w:rsidR="00514A78" w:rsidRPr="00514A78" w14:paraId="0D336528" w14:textId="77777777" w:rsidTr="00D437E8">
        <w:tc>
          <w:tcPr>
            <w:tcW w:w="3397" w:type="dxa"/>
            <w:shd w:val="clear" w:color="auto" w:fill="BFBFBF" w:themeFill="background1" w:themeFillShade="BF"/>
            <w:vAlign w:val="center"/>
          </w:tcPr>
          <w:p w14:paraId="2381A9D0" w14:textId="77777777" w:rsidR="004E7C4D" w:rsidRPr="00514A78" w:rsidRDefault="004E7C4D" w:rsidP="00992217">
            <w:pPr>
              <w:spacing w:before="20" w:after="20"/>
              <w:jc w:val="center"/>
              <w:rPr>
                <w:b/>
                <w:bCs/>
                <w:sz w:val="14"/>
                <w:szCs w:val="14"/>
              </w:rPr>
            </w:pPr>
            <w:r w:rsidRPr="00514A78">
              <w:rPr>
                <w:b/>
                <w:bCs/>
                <w:sz w:val="14"/>
                <w:szCs w:val="14"/>
              </w:rPr>
              <w:t>A</w:t>
            </w:r>
          </w:p>
        </w:tc>
        <w:tc>
          <w:tcPr>
            <w:tcW w:w="1701" w:type="dxa"/>
            <w:shd w:val="clear" w:color="auto" w:fill="BFBFBF" w:themeFill="background1" w:themeFillShade="BF"/>
            <w:vAlign w:val="center"/>
          </w:tcPr>
          <w:p w14:paraId="405C5173" w14:textId="77777777" w:rsidR="004E7C4D" w:rsidRPr="00514A78" w:rsidRDefault="004E7C4D" w:rsidP="00992217">
            <w:pPr>
              <w:spacing w:before="20" w:after="20"/>
              <w:jc w:val="center"/>
              <w:rPr>
                <w:b/>
                <w:bCs/>
                <w:sz w:val="14"/>
                <w:szCs w:val="14"/>
              </w:rPr>
            </w:pPr>
            <w:r w:rsidRPr="00514A78">
              <w:rPr>
                <w:b/>
                <w:bCs/>
                <w:sz w:val="14"/>
                <w:szCs w:val="14"/>
              </w:rPr>
              <w:t>B</w:t>
            </w:r>
          </w:p>
        </w:tc>
        <w:tc>
          <w:tcPr>
            <w:tcW w:w="3730" w:type="dxa"/>
            <w:shd w:val="clear" w:color="auto" w:fill="BFBFBF" w:themeFill="background1" w:themeFillShade="BF"/>
            <w:vAlign w:val="center"/>
          </w:tcPr>
          <w:p w14:paraId="30AD8E28" w14:textId="77777777" w:rsidR="004E7C4D" w:rsidRPr="00514A78" w:rsidRDefault="004E7C4D" w:rsidP="00992217">
            <w:pPr>
              <w:spacing w:before="20" w:after="20"/>
              <w:jc w:val="center"/>
              <w:rPr>
                <w:b/>
                <w:bCs/>
                <w:sz w:val="14"/>
                <w:szCs w:val="14"/>
              </w:rPr>
            </w:pPr>
            <w:r w:rsidRPr="00514A78">
              <w:rPr>
                <w:b/>
                <w:bCs/>
                <w:sz w:val="14"/>
                <w:szCs w:val="14"/>
              </w:rPr>
              <w:t>C = A × B</w:t>
            </w:r>
          </w:p>
        </w:tc>
      </w:tr>
      <w:tr w:rsidR="00514A78" w:rsidRPr="00514A78" w14:paraId="4CD228DF" w14:textId="77777777" w:rsidTr="00D437E8">
        <w:tc>
          <w:tcPr>
            <w:tcW w:w="3397" w:type="dxa"/>
            <w:vAlign w:val="center"/>
          </w:tcPr>
          <w:p w14:paraId="07BC7418" w14:textId="77777777" w:rsidR="004E7C4D" w:rsidRPr="00514A78" w:rsidRDefault="004E7C4D" w:rsidP="00992217">
            <w:pPr>
              <w:spacing w:before="120" w:after="120"/>
              <w:jc w:val="center"/>
              <w:rPr>
                <w:b/>
                <w:bCs/>
              </w:rPr>
            </w:pPr>
            <w:r w:rsidRPr="00514A78">
              <w:rPr>
                <w:b/>
                <w:bCs/>
              </w:rPr>
              <w:t>$20’488,184.16</w:t>
            </w:r>
          </w:p>
        </w:tc>
        <w:tc>
          <w:tcPr>
            <w:tcW w:w="1701" w:type="dxa"/>
            <w:vAlign w:val="center"/>
          </w:tcPr>
          <w:p w14:paraId="63BE77E9" w14:textId="77777777" w:rsidR="004E7C4D" w:rsidRPr="00514A78" w:rsidRDefault="004E7C4D" w:rsidP="00992217">
            <w:pPr>
              <w:spacing w:before="120" w:after="120"/>
              <w:jc w:val="center"/>
              <w:rPr>
                <w:b/>
                <w:bCs/>
              </w:rPr>
            </w:pPr>
            <w:r w:rsidRPr="00514A78">
              <w:rPr>
                <w:b/>
                <w:bCs/>
              </w:rPr>
              <w:t>20%</w:t>
            </w:r>
          </w:p>
        </w:tc>
        <w:tc>
          <w:tcPr>
            <w:tcW w:w="3730" w:type="dxa"/>
            <w:vAlign w:val="center"/>
          </w:tcPr>
          <w:p w14:paraId="1D0B1285" w14:textId="77777777" w:rsidR="004E7C4D" w:rsidRPr="00514A78" w:rsidRDefault="004E7C4D" w:rsidP="00992217">
            <w:pPr>
              <w:spacing w:before="120" w:after="120"/>
              <w:jc w:val="center"/>
              <w:rPr>
                <w:b/>
                <w:bCs/>
              </w:rPr>
            </w:pPr>
            <w:r w:rsidRPr="00514A78">
              <w:rPr>
                <w:b/>
                <w:bCs/>
              </w:rPr>
              <w:t>$4’097,636.83</w:t>
            </w:r>
          </w:p>
        </w:tc>
      </w:tr>
    </w:tbl>
    <w:p w14:paraId="3576C176" w14:textId="77777777" w:rsidR="004E7C4D" w:rsidRPr="00514A78" w:rsidRDefault="004E7C4D" w:rsidP="009A0F9B">
      <w:pPr>
        <w:pStyle w:val="Ttulo3"/>
      </w:pPr>
      <w:r w:rsidRPr="00514A78">
        <w:t>Tope de gastos de precampaña para la elección a las diputaciones locales</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7"/>
        <w:gridCol w:w="1701"/>
        <w:gridCol w:w="3730"/>
      </w:tblGrid>
      <w:tr w:rsidR="00514A78" w:rsidRPr="00514A78" w14:paraId="343BF90C" w14:textId="77777777" w:rsidTr="00AA6BB9">
        <w:tc>
          <w:tcPr>
            <w:tcW w:w="3397" w:type="dxa"/>
            <w:shd w:val="clear" w:color="auto" w:fill="993366"/>
            <w:vAlign w:val="center"/>
          </w:tcPr>
          <w:p w14:paraId="27E8AC87" w14:textId="77777777" w:rsidR="004E7C4D" w:rsidRPr="00DE3330" w:rsidRDefault="004E7C4D" w:rsidP="00AA6BB9">
            <w:pPr>
              <w:spacing w:before="20" w:after="20"/>
              <w:jc w:val="center"/>
              <w:rPr>
                <w:b/>
                <w:bCs/>
                <w:color w:val="FFFFFF" w:themeColor="background1"/>
                <w:sz w:val="14"/>
                <w:szCs w:val="14"/>
              </w:rPr>
            </w:pPr>
            <w:r w:rsidRPr="00DE3330">
              <w:rPr>
                <w:b/>
                <w:bCs/>
                <w:color w:val="FFFFFF" w:themeColor="background1"/>
                <w:sz w:val="14"/>
                <w:szCs w:val="14"/>
              </w:rPr>
              <w:t>Tope de gastos de campaña para la elección de Diputaciones en el Proceso Electoral Local Ordinario 2020 – 2021 (CE/2021/023)</w:t>
            </w:r>
          </w:p>
        </w:tc>
        <w:tc>
          <w:tcPr>
            <w:tcW w:w="1701" w:type="dxa"/>
            <w:shd w:val="clear" w:color="auto" w:fill="993366"/>
            <w:vAlign w:val="center"/>
          </w:tcPr>
          <w:p w14:paraId="242F76A9" w14:textId="77777777" w:rsidR="004E7C4D" w:rsidRPr="00DE3330" w:rsidRDefault="004E7C4D" w:rsidP="00AA6BB9">
            <w:pPr>
              <w:spacing w:before="20" w:after="20"/>
              <w:jc w:val="center"/>
              <w:rPr>
                <w:b/>
                <w:bCs/>
                <w:color w:val="FFFFFF" w:themeColor="background1"/>
                <w:sz w:val="14"/>
                <w:szCs w:val="14"/>
              </w:rPr>
            </w:pPr>
            <w:r w:rsidRPr="00DE3330">
              <w:rPr>
                <w:b/>
                <w:bCs/>
                <w:color w:val="FFFFFF" w:themeColor="background1"/>
                <w:sz w:val="14"/>
                <w:szCs w:val="14"/>
              </w:rPr>
              <w:t>Porcentaje</w:t>
            </w:r>
          </w:p>
        </w:tc>
        <w:tc>
          <w:tcPr>
            <w:tcW w:w="3730" w:type="dxa"/>
            <w:shd w:val="clear" w:color="auto" w:fill="993366"/>
            <w:vAlign w:val="center"/>
          </w:tcPr>
          <w:p w14:paraId="1B7D6297" w14:textId="520B25F0" w:rsidR="004E7C4D" w:rsidRPr="00DE3330" w:rsidRDefault="00E8051E" w:rsidP="00AA6BB9">
            <w:pPr>
              <w:spacing w:before="20" w:after="20"/>
              <w:jc w:val="center"/>
              <w:rPr>
                <w:b/>
                <w:bCs/>
                <w:color w:val="FFFFFF" w:themeColor="background1"/>
                <w:sz w:val="14"/>
                <w:szCs w:val="14"/>
              </w:rPr>
            </w:pPr>
            <w:r w:rsidRPr="00DE3330">
              <w:rPr>
                <w:b/>
                <w:bCs/>
                <w:color w:val="FFFFFF" w:themeColor="background1"/>
                <w:sz w:val="14"/>
                <w:szCs w:val="14"/>
              </w:rPr>
              <w:t>Límite o tope máximo de gastos de precampaña para la elección a diputaciones locales</w:t>
            </w:r>
            <w:r w:rsidR="000E4250" w:rsidRPr="00DE3330">
              <w:rPr>
                <w:b/>
                <w:bCs/>
                <w:color w:val="FFFFFF" w:themeColor="background1"/>
                <w:sz w:val="14"/>
                <w:szCs w:val="14"/>
              </w:rPr>
              <w:t xml:space="preserve"> con motivo del Proceso Electoral 2023 - 2024</w:t>
            </w:r>
          </w:p>
        </w:tc>
      </w:tr>
      <w:tr w:rsidR="00514A78" w:rsidRPr="00514A78" w14:paraId="031E62DD" w14:textId="77777777" w:rsidTr="00AA6BB9">
        <w:tc>
          <w:tcPr>
            <w:tcW w:w="3397" w:type="dxa"/>
            <w:shd w:val="clear" w:color="auto" w:fill="BFBFBF" w:themeFill="background1" w:themeFillShade="BF"/>
            <w:vAlign w:val="center"/>
          </w:tcPr>
          <w:p w14:paraId="7BCE120E" w14:textId="77777777" w:rsidR="004E7C4D" w:rsidRPr="00514A78" w:rsidRDefault="004E7C4D" w:rsidP="00AA6BB9">
            <w:pPr>
              <w:spacing w:before="20" w:after="20"/>
              <w:jc w:val="center"/>
              <w:rPr>
                <w:b/>
                <w:bCs/>
                <w:sz w:val="14"/>
                <w:szCs w:val="14"/>
              </w:rPr>
            </w:pPr>
            <w:r w:rsidRPr="00514A78">
              <w:rPr>
                <w:b/>
                <w:bCs/>
                <w:sz w:val="14"/>
                <w:szCs w:val="14"/>
              </w:rPr>
              <w:t>A</w:t>
            </w:r>
          </w:p>
        </w:tc>
        <w:tc>
          <w:tcPr>
            <w:tcW w:w="1701" w:type="dxa"/>
            <w:shd w:val="clear" w:color="auto" w:fill="BFBFBF" w:themeFill="background1" w:themeFillShade="BF"/>
            <w:vAlign w:val="center"/>
          </w:tcPr>
          <w:p w14:paraId="2B9794FA" w14:textId="77777777" w:rsidR="004E7C4D" w:rsidRPr="00514A78" w:rsidRDefault="004E7C4D" w:rsidP="00AA6BB9">
            <w:pPr>
              <w:spacing w:before="20" w:after="20"/>
              <w:jc w:val="center"/>
              <w:rPr>
                <w:b/>
                <w:bCs/>
                <w:sz w:val="14"/>
                <w:szCs w:val="14"/>
              </w:rPr>
            </w:pPr>
            <w:r w:rsidRPr="00514A78">
              <w:rPr>
                <w:b/>
                <w:bCs/>
                <w:sz w:val="14"/>
                <w:szCs w:val="14"/>
              </w:rPr>
              <w:t>B</w:t>
            </w:r>
          </w:p>
        </w:tc>
        <w:tc>
          <w:tcPr>
            <w:tcW w:w="3730" w:type="dxa"/>
            <w:shd w:val="clear" w:color="auto" w:fill="BFBFBF" w:themeFill="background1" w:themeFillShade="BF"/>
            <w:vAlign w:val="center"/>
          </w:tcPr>
          <w:p w14:paraId="713B1841" w14:textId="77777777" w:rsidR="004E7C4D" w:rsidRPr="00514A78" w:rsidRDefault="004E7C4D" w:rsidP="00AA6BB9">
            <w:pPr>
              <w:spacing w:before="20" w:after="20"/>
              <w:jc w:val="center"/>
              <w:rPr>
                <w:b/>
                <w:bCs/>
                <w:sz w:val="14"/>
                <w:szCs w:val="14"/>
              </w:rPr>
            </w:pPr>
            <w:r w:rsidRPr="00514A78">
              <w:rPr>
                <w:b/>
                <w:bCs/>
                <w:sz w:val="14"/>
                <w:szCs w:val="14"/>
              </w:rPr>
              <w:t>C = A × B</w:t>
            </w:r>
          </w:p>
        </w:tc>
      </w:tr>
      <w:tr w:rsidR="00514A78" w:rsidRPr="00514A78" w14:paraId="254FD5AD" w14:textId="77777777" w:rsidTr="00AA6BB9">
        <w:tc>
          <w:tcPr>
            <w:tcW w:w="3397" w:type="dxa"/>
            <w:vAlign w:val="center"/>
          </w:tcPr>
          <w:p w14:paraId="3FC36578" w14:textId="77777777" w:rsidR="004E7C4D" w:rsidRPr="00514A78" w:rsidRDefault="004E7C4D" w:rsidP="00AA6BB9">
            <w:pPr>
              <w:spacing w:before="120" w:after="120"/>
              <w:jc w:val="center"/>
              <w:rPr>
                <w:b/>
                <w:bCs/>
              </w:rPr>
            </w:pPr>
            <w:r w:rsidRPr="00514A78">
              <w:rPr>
                <w:b/>
                <w:bCs/>
              </w:rPr>
              <w:t>$7’316,085.98</w:t>
            </w:r>
          </w:p>
        </w:tc>
        <w:tc>
          <w:tcPr>
            <w:tcW w:w="1701" w:type="dxa"/>
            <w:vAlign w:val="center"/>
          </w:tcPr>
          <w:p w14:paraId="46187461" w14:textId="77777777" w:rsidR="004E7C4D" w:rsidRPr="00514A78" w:rsidRDefault="004E7C4D" w:rsidP="00AA6BB9">
            <w:pPr>
              <w:spacing w:before="120" w:after="120"/>
              <w:jc w:val="center"/>
              <w:rPr>
                <w:b/>
                <w:bCs/>
              </w:rPr>
            </w:pPr>
            <w:r w:rsidRPr="00514A78">
              <w:rPr>
                <w:b/>
                <w:bCs/>
              </w:rPr>
              <w:t>20%</w:t>
            </w:r>
          </w:p>
        </w:tc>
        <w:tc>
          <w:tcPr>
            <w:tcW w:w="3730" w:type="dxa"/>
            <w:vAlign w:val="center"/>
          </w:tcPr>
          <w:p w14:paraId="3335782B" w14:textId="77777777" w:rsidR="004E7C4D" w:rsidRPr="00514A78" w:rsidRDefault="004E7C4D" w:rsidP="00AA6BB9">
            <w:pPr>
              <w:spacing w:before="120" w:after="120"/>
              <w:jc w:val="center"/>
              <w:rPr>
                <w:b/>
                <w:bCs/>
              </w:rPr>
            </w:pPr>
            <w:r w:rsidRPr="00514A78">
              <w:rPr>
                <w:b/>
                <w:bCs/>
              </w:rPr>
              <w:t>$1’463,217.19</w:t>
            </w:r>
          </w:p>
        </w:tc>
      </w:tr>
    </w:tbl>
    <w:p w14:paraId="02C50F57" w14:textId="42C9C671" w:rsidR="004E7C4D" w:rsidRPr="00514A78" w:rsidRDefault="004E7C4D" w:rsidP="004E7C4D">
      <w:r w:rsidRPr="00514A78">
        <w:t xml:space="preserve">Ahora bien, en virtud de la nueva conformación territorial de los distritos electorales uninominales locales hecha por el INE, para la determinación individual de los topes de gastos para la obtención del apoyo de la ciudadanía por cada distrito, este órgano electoral redistribuyó los montos establecidos en el acuerdo CE/2021/023 </w:t>
      </w:r>
      <w:r w:rsidR="009A0F9B">
        <w:t xml:space="preserve">que corresponde al </w:t>
      </w:r>
      <w:r w:rsidRPr="00514A78">
        <w:t>tope de gastos de campaña de la elección inmediata anterior a diputaciones, reasignándolos de acuerdo con el porcentaje que cada distrito representa del total del listado nominal con fecha de corte al 31 de julio del año en curso. Lo anterior, debido a que este es el valor real y actual que corresponde a cada distrito y el que preserva la igualdad y equidad de condiciones entre las candidaturas. En ese tenor, al resultado de la operación señalada se le aplica el (20%) veinte por ciento que es el límite que establece la Constitución Local.</w:t>
      </w:r>
    </w:p>
    <w:p w14:paraId="5CEA26A4" w14:textId="77777777" w:rsidR="004E7C4D" w:rsidRPr="00514A78" w:rsidRDefault="004E7C4D" w:rsidP="004E7C4D">
      <w:pPr>
        <w:rPr>
          <w:rFonts w:eastAsia="Arial Unicode MS"/>
        </w:rPr>
      </w:pPr>
      <w:r w:rsidRPr="00514A78">
        <w:rPr>
          <w:rFonts w:eastAsia="Arial Unicode MS"/>
        </w:rPr>
        <w:t>Consecuentemente, para cada distrito uninominal de forma individualizada y de acuerdo con el tope de gastos de campaña para la elección inmediata anterior, el monto relativo al tope de gastos de la elección inmediata anterior se distribuye de la siguiente forma:</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416"/>
        <w:gridCol w:w="2840"/>
        <w:gridCol w:w="991"/>
        <w:gridCol w:w="1134"/>
        <w:gridCol w:w="1277"/>
        <w:gridCol w:w="712"/>
        <w:gridCol w:w="1458"/>
      </w:tblGrid>
      <w:tr w:rsidR="00514A78" w:rsidRPr="00514A78" w14:paraId="75D43E44" w14:textId="77777777" w:rsidTr="00DE3330">
        <w:trPr>
          <w:trHeight w:val="525"/>
          <w:tblHeader/>
        </w:trPr>
        <w:tc>
          <w:tcPr>
            <w:tcW w:w="1844" w:type="pct"/>
            <w:gridSpan w:val="2"/>
            <w:vMerge w:val="restart"/>
            <w:shd w:val="clear" w:color="auto" w:fill="993366"/>
            <w:vAlign w:val="center"/>
          </w:tcPr>
          <w:p w14:paraId="59B69255" w14:textId="33C7372F" w:rsidR="007C0FDF" w:rsidRPr="00DE3330" w:rsidRDefault="007C0FDF" w:rsidP="00E8051E">
            <w:pPr>
              <w:spacing w:before="20" w:after="20"/>
              <w:jc w:val="center"/>
              <w:rPr>
                <w:rFonts w:ascii="Arial Negrita" w:eastAsia="Times New Roman" w:hAnsi="Arial Negrita"/>
                <w:b/>
                <w:bCs/>
                <w:color w:val="FFFFFF" w:themeColor="background1"/>
                <w:spacing w:val="-10"/>
                <w:kern w:val="0"/>
                <w:sz w:val="14"/>
                <w:szCs w:val="14"/>
                <w:lang w:eastAsia="es-MX"/>
                <w14:ligatures w14:val="none"/>
              </w:rPr>
            </w:pPr>
            <w:r w:rsidRPr="00DE3330">
              <w:rPr>
                <w:rFonts w:ascii="Arial Negrita" w:eastAsia="Times New Roman" w:hAnsi="Arial Negrita"/>
                <w:b/>
                <w:bCs/>
                <w:color w:val="FFFFFF" w:themeColor="background1"/>
                <w:spacing w:val="-10"/>
                <w:kern w:val="0"/>
                <w:sz w:val="14"/>
                <w:szCs w:val="14"/>
                <w:lang w:eastAsia="es-MX"/>
                <w14:ligatures w14:val="none"/>
              </w:rPr>
              <w:t>Distrito</w:t>
            </w:r>
          </w:p>
        </w:tc>
        <w:tc>
          <w:tcPr>
            <w:tcW w:w="561" w:type="pct"/>
            <w:shd w:val="clear" w:color="auto" w:fill="993366"/>
            <w:vAlign w:val="center"/>
          </w:tcPr>
          <w:p w14:paraId="4C18BF37" w14:textId="4A91CF06" w:rsidR="007C0FDF" w:rsidRPr="00DE3330" w:rsidRDefault="007C0FDF" w:rsidP="00E8051E">
            <w:pPr>
              <w:spacing w:before="20" w:after="20"/>
              <w:jc w:val="center"/>
              <w:rPr>
                <w:rFonts w:ascii="Arial Negrita" w:eastAsia="Times New Roman" w:hAnsi="Arial Negrita"/>
                <w:b/>
                <w:bCs/>
                <w:color w:val="FFFFFF" w:themeColor="background1"/>
                <w:spacing w:val="-10"/>
                <w:kern w:val="0"/>
                <w:sz w:val="14"/>
                <w:szCs w:val="14"/>
                <w:lang w:eastAsia="es-MX"/>
                <w14:ligatures w14:val="none"/>
              </w:rPr>
            </w:pPr>
            <w:r w:rsidRPr="00DE3330">
              <w:rPr>
                <w:rFonts w:ascii="Arial Negrita" w:eastAsia="Times New Roman" w:hAnsi="Arial Negrita"/>
                <w:b/>
                <w:bCs/>
                <w:color w:val="FFFFFF" w:themeColor="background1"/>
                <w:spacing w:val="-10"/>
                <w:kern w:val="0"/>
                <w:sz w:val="14"/>
                <w:szCs w:val="14"/>
                <w:lang w:eastAsia="es-MX"/>
                <w14:ligatures w14:val="none"/>
              </w:rPr>
              <w:t>Listado nominal (31 de julio de 2023)</w:t>
            </w:r>
          </w:p>
        </w:tc>
        <w:tc>
          <w:tcPr>
            <w:tcW w:w="642" w:type="pct"/>
            <w:shd w:val="clear" w:color="auto" w:fill="993366"/>
            <w:vAlign w:val="center"/>
          </w:tcPr>
          <w:p w14:paraId="6C6C6FE1" w14:textId="323071D2" w:rsidR="007C0FDF" w:rsidRPr="00DE3330" w:rsidRDefault="007C0FDF" w:rsidP="00E8051E">
            <w:pPr>
              <w:spacing w:before="20" w:after="20"/>
              <w:jc w:val="center"/>
              <w:rPr>
                <w:rFonts w:ascii="Arial Negrita" w:eastAsia="Times New Roman" w:hAnsi="Arial Negrita"/>
                <w:b/>
                <w:bCs/>
                <w:color w:val="FFFFFF" w:themeColor="background1"/>
                <w:spacing w:val="-10"/>
                <w:kern w:val="0"/>
                <w:sz w:val="14"/>
                <w:szCs w:val="14"/>
                <w:lang w:eastAsia="es-MX"/>
                <w14:ligatures w14:val="none"/>
              </w:rPr>
            </w:pPr>
            <w:r w:rsidRPr="00DE3330">
              <w:rPr>
                <w:rFonts w:ascii="Arial Negrita" w:eastAsia="Times New Roman" w:hAnsi="Arial Negrita"/>
                <w:b/>
                <w:bCs/>
                <w:color w:val="FFFFFF" w:themeColor="background1"/>
                <w:spacing w:val="-10"/>
                <w:kern w:val="0"/>
                <w:sz w:val="14"/>
                <w:szCs w:val="14"/>
                <w:lang w:eastAsia="es-MX"/>
                <w14:ligatures w14:val="none"/>
              </w:rPr>
              <w:t>% sobre el valor total del Listado nominal</w:t>
            </w:r>
          </w:p>
        </w:tc>
        <w:tc>
          <w:tcPr>
            <w:tcW w:w="723" w:type="pct"/>
            <w:shd w:val="clear" w:color="auto" w:fill="993366"/>
            <w:vAlign w:val="center"/>
          </w:tcPr>
          <w:p w14:paraId="170CEED8" w14:textId="75622F9A" w:rsidR="007C0FDF" w:rsidRPr="00DE3330" w:rsidRDefault="007C0FDF" w:rsidP="00E8051E">
            <w:pPr>
              <w:spacing w:before="20" w:after="20"/>
              <w:jc w:val="center"/>
              <w:rPr>
                <w:rFonts w:ascii="Arial Negrita" w:eastAsia="Times New Roman" w:hAnsi="Arial Negrita"/>
                <w:b/>
                <w:bCs/>
                <w:color w:val="FFFFFF" w:themeColor="background1"/>
                <w:spacing w:val="-10"/>
                <w:kern w:val="0"/>
                <w:sz w:val="14"/>
                <w:szCs w:val="14"/>
                <w:lang w:eastAsia="es-MX"/>
                <w14:ligatures w14:val="none"/>
              </w:rPr>
            </w:pPr>
            <w:r w:rsidRPr="00DE3330">
              <w:rPr>
                <w:rFonts w:ascii="Arial Negrita" w:eastAsia="Times New Roman" w:hAnsi="Arial Negrita"/>
                <w:b/>
                <w:bCs/>
                <w:color w:val="FFFFFF" w:themeColor="background1"/>
                <w:spacing w:val="-10"/>
                <w:kern w:val="0"/>
                <w:sz w:val="14"/>
                <w:szCs w:val="14"/>
                <w:lang w:eastAsia="es-MX"/>
                <w14:ligatures w14:val="none"/>
              </w:rPr>
              <w:t>Redistribución del Tope de gastos de campaña de la elección inmediata anterior</w:t>
            </w:r>
          </w:p>
        </w:tc>
        <w:tc>
          <w:tcPr>
            <w:tcW w:w="403" w:type="pct"/>
            <w:shd w:val="clear" w:color="auto" w:fill="993366"/>
            <w:noWrap/>
            <w:vAlign w:val="center"/>
          </w:tcPr>
          <w:p w14:paraId="6633A1B8" w14:textId="61D84A09" w:rsidR="007C0FDF" w:rsidRPr="00DE3330" w:rsidRDefault="007C0FDF" w:rsidP="00E8051E">
            <w:pPr>
              <w:spacing w:before="20" w:after="20"/>
              <w:jc w:val="center"/>
              <w:rPr>
                <w:rFonts w:ascii="Arial Negrita" w:eastAsia="Times New Roman" w:hAnsi="Arial Negrita"/>
                <w:b/>
                <w:bCs/>
                <w:color w:val="FFFFFF" w:themeColor="background1"/>
                <w:spacing w:val="-10"/>
                <w:kern w:val="0"/>
                <w:sz w:val="14"/>
                <w:szCs w:val="14"/>
                <w:lang w:eastAsia="es-MX"/>
                <w14:ligatures w14:val="none"/>
              </w:rPr>
            </w:pPr>
            <w:r w:rsidRPr="00DE3330">
              <w:rPr>
                <w:rFonts w:ascii="Arial Negrita" w:eastAsia="Times New Roman" w:hAnsi="Arial Negrita"/>
                <w:b/>
                <w:bCs/>
                <w:color w:val="FFFFFF" w:themeColor="background1"/>
                <w:spacing w:val="-10"/>
                <w:kern w:val="0"/>
                <w:sz w:val="14"/>
                <w:szCs w:val="14"/>
                <w:lang w:eastAsia="es-MX"/>
                <w14:ligatures w14:val="none"/>
              </w:rPr>
              <w:t>%</w:t>
            </w:r>
          </w:p>
        </w:tc>
        <w:tc>
          <w:tcPr>
            <w:tcW w:w="826" w:type="pct"/>
            <w:shd w:val="clear" w:color="auto" w:fill="993366"/>
            <w:vAlign w:val="center"/>
          </w:tcPr>
          <w:p w14:paraId="65CFF419" w14:textId="0750026F" w:rsidR="007C0FDF" w:rsidRPr="00DE3330" w:rsidRDefault="007C0FDF" w:rsidP="00E8051E">
            <w:pPr>
              <w:spacing w:before="20" w:after="20"/>
              <w:jc w:val="center"/>
              <w:rPr>
                <w:rFonts w:ascii="Arial Negrita" w:eastAsia="Times New Roman" w:hAnsi="Arial Negrita"/>
                <w:b/>
                <w:bCs/>
                <w:color w:val="FFFFFF" w:themeColor="background1"/>
                <w:spacing w:val="-10"/>
                <w:kern w:val="0"/>
                <w:sz w:val="14"/>
                <w:szCs w:val="14"/>
                <w:lang w:eastAsia="es-MX"/>
                <w14:ligatures w14:val="none"/>
              </w:rPr>
            </w:pPr>
            <w:r w:rsidRPr="00DE3330">
              <w:rPr>
                <w:rFonts w:ascii="Arial Negrita" w:hAnsi="Arial Negrita"/>
                <w:b/>
                <w:bCs/>
                <w:color w:val="FFFFFF" w:themeColor="background1"/>
                <w:spacing w:val="-10"/>
                <w:sz w:val="14"/>
                <w:szCs w:val="14"/>
              </w:rPr>
              <w:t>Límite o tope máximo de gastos de precampaña para la elección a diputaciones locales</w:t>
            </w:r>
          </w:p>
        </w:tc>
      </w:tr>
      <w:tr w:rsidR="00514A78" w:rsidRPr="00514A78" w14:paraId="3DA5A50A" w14:textId="77777777" w:rsidTr="00DE3330">
        <w:trPr>
          <w:trHeight w:val="360"/>
          <w:tblHeader/>
        </w:trPr>
        <w:tc>
          <w:tcPr>
            <w:tcW w:w="1844" w:type="pct"/>
            <w:gridSpan w:val="2"/>
            <w:vMerge/>
            <w:shd w:val="clear" w:color="auto" w:fill="BFBFBF" w:themeFill="background1" w:themeFillShade="BF"/>
            <w:vAlign w:val="center"/>
          </w:tcPr>
          <w:p w14:paraId="4B3E821A" w14:textId="77777777" w:rsidR="007C0FDF" w:rsidRPr="00514A78" w:rsidRDefault="007C0FDF" w:rsidP="000E4250">
            <w:pPr>
              <w:spacing w:before="20" w:after="20"/>
              <w:rPr>
                <w:rFonts w:eastAsia="Times New Roman"/>
                <w:spacing w:val="-10"/>
                <w:kern w:val="0"/>
                <w:sz w:val="18"/>
                <w:szCs w:val="18"/>
                <w:lang w:eastAsia="es-MX"/>
                <w14:ligatures w14:val="none"/>
              </w:rPr>
            </w:pPr>
          </w:p>
        </w:tc>
        <w:tc>
          <w:tcPr>
            <w:tcW w:w="561" w:type="pct"/>
            <w:shd w:val="clear" w:color="auto" w:fill="BFBFBF" w:themeFill="background1" w:themeFillShade="BF"/>
            <w:vAlign w:val="center"/>
          </w:tcPr>
          <w:p w14:paraId="3811FE88" w14:textId="56052B35" w:rsidR="007C0FDF" w:rsidRPr="00514A78" w:rsidRDefault="007C0FDF" w:rsidP="007C0FDF">
            <w:pPr>
              <w:spacing w:before="20" w:after="20"/>
              <w:jc w:val="center"/>
              <w:rPr>
                <w:rFonts w:eastAsia="Times New Roman"/>
                <w:b/>
                <w:bCs/>
                <w:spacing w:val="-10"/>
                <w:kern w:val="0"/>
                <w:sz w:val="12"/>
                <w:szCs w:val="12"/>
                <w:lang w:eastAsia="es-MX"/>
                <w14:ligatures w14:val="none"/>
              </w:rPr>
            </w:pPr>
            <w:r w:rsidRPr="00514A78">
              <w:rPr>
                <w:rFonts w:eastAsia="Times New Roman"/>
                <w:b/>
                <w:bCs/>
                <w:spacing w:val="-10"/>
                <w:kern w:val="0"/>
                <w:sz w:val="12"/>
                <w:szCs w:val="12"/>
                <w:lang w:eastAsia="es-MX"/>
                <w14:ligatures w14:val="none"/>
              </w:rPr>
              <w:t>A</w:t>
            </w:r>
          </w:p>
        </w:tc>
        <w:tc>
          <w:tcPr>
            <w:tcW w:w="642" w:type="pct"/>
            <w:shd w:val="clear" w:color="auto" w:fill="BFBFBF" w:themeFill="background1" w:themeFillShade="BF"/>
            <w:vAlign w:val="center"/>
          </w:tcPr>
          <w:p w14:paraId="255E6E24" w14:textId="4097DAA4" w:rsidR="007C0FDF" w:rsidRPr="00514A78" w:rsidRDefault="007C0FDF" w:rsidP="007C0FDF">
            <w:pPr>
              <w:spacing w:before="20" w:after="20"/>
              <w:jc w:val="center"/>
              <w:rPr>
                <w:rFonts w:eastAsia="Times New Roman"/>
                <w:b/>
                <w:bCs/>
                <w:spacing w:val="-10"/>
                <w:kern w:val="0"/>
                <w:sz w:val="12"/>
                <w:szCs w:val="12"/>
                <w:lang w:eastAsia="es-MX"/>
                <w14:ligatures w14:val="none"/>
              </w:rPr>
            </w:pPr>
            <w:r w:rsidRPr="00514A78">
              <w:rPr>
                <w:rFonts w:eastAsia="Times New Roman"/>
                <w:b/>
                <w:bCs/>
                <w:spacing w:val="-10"/>
                <w:kern w:val="0"/>
                <w:sz w:val="12"/>
                <w:szCs w:val="12"/>
                <w:lang w:eastAsia="es-MX"/>
                <w14:ligatures w14:val="none"/>
              </w:rPr>
              <w:t>B</w:t>
            </w:r>
          </w:p>
        </w:tc>
        <w:tc>
          <w:tcPr>
            <w:tcW w:w="723" w:type="pct"/>
            <w:shd w:val="clear" w:color="auto" w:fill="BFBFBF" w:themeFill="background1" w:themeFillShade="BF"/>
            <w:vAlign w:val="center"/>
          </w:tcPr>
          <w:p w14:paraId="32B4208A" w14:textId="39FD913E" w:rsidR="007C0FDF" w:rsidRPr="00514A78" w:rsidRDefault="007C0FDF" w:rsidP="000E4250">
            <w:pPr>
              <w:spacing w:before="20" w:after="20"/>
              <w:jc w:val="right"/>
              <w:rPr>
                <w:rFonts w:eastAsia="Times New Roman"/>
                <w:b/>
                <w:bCs/>
                <w:spacing w:val="-10"/>
                <w:kern w:val="0"/>
                <w:sz w:val="12"/>
                <w:szCs w:val="12"/>
                <w:lang w:eastAsia="es-MX"/>
                <w14:ligatures w14:val="none"/>
              </w:rPr>
            </w:pPr>
            <w:r w:rsidRPr="00514A78">
              <w:rPr>
                <w:rFonts w:eastAsia="Times New Roman"/>
                <w:b/>
                <w:bCs/>
                <w:spacing w:val="-10"/>
                <w:kern w:val="0"/>
                <w:sz w:val="12"/>
                <w:szCs w:val="12"/>
                <w:lang w:eastAsia="es-MX"/>
                <w14:ligatures w14:val="none"/>
              </w:rPr>
              <w:t xml:space="preserve">C = B × 7’316,085.98  </w:t>
            </w:r>
          </w:p>
        </w:tc>
        <w:tc>
          <w:tcPr>
            <w:tcW w:w="403" w:type="pct"/>
            <w:shd w:val="clear" w:color="auto" w:fill="BFBFBF" w:themeFill="background1" w:themeFillShade="BF"/>
            <w:noWrap/>
            <w:vAlign w:val="center"/>
          </w:tcPr>
          <w:p w14:paraId="43511038" w14:textId="4FB9C838" w:rsidR="007C0FDF" w:rsidRPr="00514A78" w:rsidRDefault="007C0FDF" w:rsidP="000E4250">
            <w:pPr>
              <w:spacing w:before="20" w:after="20"/>
              <w:jc w:val="center"/>
              <w:rPr>
                <w:rFonts w:eastAsia="Times New Roman"/>
                <w:b/>
                <w:bCs/>
                <w:spacing w:val="-10"/>
                <w:kern w:val="0"/>
                <w:sz w:val="12"/>
                <w:szCs w:val="12"/>
                <w:lang w:eastAsia="es-MX"/>
                <w14:ligatures w14:val="none"/>
              </w:rPr>
            </w:pPr>
            <w:r w:rsidRPr="00514A78">
              <w:rPr>
                <w:rFonts w:eastAsia="Times New Roman"/>
                <w:b/>
                <w:bCs/>
                <w:spacing w:val="-10"/>
                <w:kern w:val="0"/>
                <w:sz w:val="12"/>
                <w:szCs w:val="12"/>
                <w:lang w:eastAsia="es-MX"/>
                <w14:ligatures w14:val="none"/>
              </w:rPr>
              <w:t>D</w:t>
            </w:r>
          </w:p>
        </w:tc>
        <w:tc>
          <w:tcPr>
            <w:tcW w:w="826" w:type="pct"/>
            <w:shd w:val="clear" w:color="auto" w:fill="BFBFBF" w:themeFill="background1" w:themeFillShade="BF"/>
            <w:vAlign w:val="center"/>
          </w:tcPr>
          <w:p w14:paraId="17E81621" w14:textId="09594424" w:rsidR="007C0FDF" w:rsidRPr="00514A78" w:rsidRDefault="007C0FDF" w:rsidP="007C0FDF">
            <w:pPr>
              <w:spacing w:before="20" w:after="20"/>
              <w:jc w:val="center"/>
              <w:rPr>
                <w:rFonts w:eastAsia="Times New Roman"/>
                <w:b/>
                <w:bCs/>
                <w:spacing w:val="-10"/>
                <w:kern w:val="0"/>
                <w:sz w:val="12"/>
                <w:szCs w:val="12"/>
                <w:lang w:eastAsia="es-MX"/>
                <w14:ligatures w14:val="none"/>
              </w:rPr>
            </w:pPr>
            <w:r w:rsidRPr="00514A78">
              <w:rPr>
                <w:rFonts w:eastAsia="Times New Roman"/>
                <w:b/>
                <w:bCs/>
                <w:spacing w:val="-10"/>
                <w:kern w:val="0"/>
                <w:sz w:val="12"/>
                <w:szCs w:val="12"/>
                <w:lang w:eastAsia="es-MX"/>
                <w14:ligatures w14:val="none"/>
              </w:rPr>
              <w:t>E = C × D</w:t>
            </w:r>
          </w:p>
        </w:tc>
      </w:tr>
      <w:tr w:rsidR="00514A78" w:rsidRPr="00514A78" w14:paraId="17D22B22" w14:textId="77777777" w:rsidTr="000E4250">
        <w:trPr>
          <w:trHeight w:val="360"/>
        </w:trPr>
        <w:tc>
          <w:tcPr>
            <w:tcW w:w="236" w:type="pct"/>
            <w:shd w:val="clear" w:color="auto" w:fill="auto"/>
            <w:vAlign w:val="center"/>
            <w:hideMark/>
          </w:tcPr>
          <w:p w14:paraId="1C87160F"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w:t>
            </w:r>
          </w:p>
        </w:tc>
        <w:tc>
          <w:tcPr>
            <w:tcW w:w="1609" w:type="pct"/>
            <w:shd w:val="clear" w:color="auto" w:fill="auto"/>
            <w:noWrap/>
            <w:vAlign w:val="center"/>
            <w:hideMark/>
          </w:tcPr>
          <w:p w14:paraId="0565F6A0"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Cárdenas/Huimanguillo</w:t>
            </w:r>
          </w:p>
        </w:tc>
        <w:tc>
          <w:tcPr>
            <w:tcW w:w="561" w:type="pct"/>
            <w:shd w:val="clear" w:color="auto" w:fill="auto"/>
            <w:vAlign w:val="center"/>
            <w:hideMark/>
          </w:tcPr>
          <w:p w14:paraId="33B2FBF1"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87,557</w:t>
            </w:r>
          </w:p>
        </w:tc>
        <w:tc>
          <w:tcPr>
            <w:tcW w:w="642" w:type="pct"/>
            <w:shd w:val="clear" w:color="auto" w:fill="auto"/>
            <w:vAlign w:val="center"/>
            <w:hideMark/>
          </w:tcPr>
          <w:p w14:paraId="74781FA5"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4.93%</w:t>
            </w:r>
          </w:p>
        </w:tc>
        <w:tc>
          <w:tcPr>
            <w:tcW w:w="723" w:type="pct"/>
            <w:shd w:val="clear" w:color="auto" w:fill="auto"/>
            <w:vAlign w:val="center"/>
            <w:hideMark/>
          </w:tcPr>
          <w:p w14:paraId="3F62E7A4"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$360,847.63</w:t>
            </w:r>
          </w:p>
        </w:tc>
        <w:tc>
          <w:tcPr>
            <w:tcW w:w="403" w:type="pct"/>
            <w:vMerge w:val="restart"/>
            <w:shd w:val="clear" w:color="auto" w:fill="auto"/>
            <w:noWrap/>
            <w:vAlign w:val="center"/>
            <w:hideMark/>
          </w:tcPr>
          <w:p w14:paraId="505D4B3B" w14:textId="77777777" w:rsidR="004E7C4D" w:rsidRPr="00514A78" w:rsidRDefault="004E7C4D" w:rsidP="000E4250">
            <w:pPr>
              <w:spacing w:before="20" w:after="20"/>
              <w:jc w:val="center"/>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20%</w:t>
            </w:r>
          </w:p>
        </w:tc>
        <w:tc>
          <w:tcPr>
            <w:tcW w:w="826" w:type="pct"/>
            <w:shd w:val="clear" w:color="auto" w:fill="auto"/>
            <w:vAlign w:val="center"/>
            <w:hideMark/>
          </w:tcPr>
          <w:p w14:paraId="261BE94E"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$72,169.53</w:t>
            </w:r>
          </w:p>
        </w:tc>
      </w:tr>
      <w:tr w:rsidR="00514A78" w:rsidRPr="00514A78" w14:paraId="2DC47B50" w14:textId="77777777" w:rsidTr="000E4250">
        <w:trPr>
          <w:trHeight w:val="315"/>
        </w:trPr>
        <w:tc>
          <w:tcPr>
            <w:tcW w:w="236" w:type="pct"/>
            <w:shd w:val="clear" w:color="auto" w:fill="auto"/>
            <w:vAlign w:val="center"/>
            <w:hideMark/>
          </w:tcPr>
          <w:p w14:paraId="74CD6A00"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2</w:t>
            </w:r>
          </w:p>
        </w:tc>
        <w:tc>
          <w:tcPr>
            <w:tcW w:w="1609" w:type="pct"/>
            <w:shd w:val="clear" w:color="auto" w:fill="auto"/>
            <w:noWrap/>
            <w:vAlign w:val="center"/>
            <w:hideMark/>
          </w:tcPr>
          <w:p w14:paraId="07687A1D"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Cárdenas</w:t>
            </w:r>
          </w:p>
        </w:tc>
        <w:tc>
          <w:tcPr>
            <w:tcW w:w="561" w:type="pct"/>
            <w:shd w:val="clear" w:color="auto" w:fill="auto"/>
            <w:vAlign w:val="center"/>
            <w:hideMark/>
          </w:tcPr>
          <w:p w14:paraId="4E21649B"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75,458</w:t>
            </w:r>
          </w:p>
        </w:tc>
        <w:tc>
          <w:tcPr>
            <w:tcW w:w="642" w:type="pct"/>
            <w:shd w:val="clear" w:color="auto" w:fill="auto"/>
            <w:vAlign w:val="center"/>
            <w:hideMark/>
          </w:tcPr>
          <w:p w14:paraId="721D5F61"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4.25%</w:t>
            </w:r>
          </w:p>
        </w:tc>
        <w:tc>
          <w:tcPr>
            <w:tcW w:w="723" w:type="pct"/>
            <w:shd w:val="clear" w:color="auto" w:fill="auto"/>
            <w:vAlign w:val="center"/>
            <w:hideMark/>
          </w:tcPr>
          <w:p w14:paraId="6BE0FA9B"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$310,984.16</w:t>
            </w:r>
          </w:p>
        </w:tc>
        <w:tc>
          <w:tcPr>
            <w:tcW w:w="403" w:type="pct"/>
            <w:vMerge/>
            <w:vAlign w:val="center"/>
            <w:hideMark/>
          </w:tcPr>
          <w:p w14:paraId="30FAFB94"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27922C91"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$62,196.83</w:t>
            </w:r>
          </w:p>
        </w:tc>
      </w:tr>
      <w:tr w:rsidR="00514A78" w:rsidRPr="00514A78" w14:paraId="4A11688B" w14:textId="77777777" w:rsidTr="000E4250">
        <w:trPr>
          <w:trHeight w:val="315"/>
        </w:trPr>
        <w:tc>
          <w:tcPr>
            <w:tcW w:w="236" w:type="pct"/>
            <w:shd w:val="clear" w:color="auto" w:fill="auto"/>
            <w:vAlign w:val="center"/>
            <w:hideMark/>
          </w:tcPr>
          <w:p w14:paraId="65BB6E39"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3</w:t>
            </w:r>
          </w:p>
        </w:tc>
        <w:tc>
          <w:tcPr>
            <w:tcW w:w="1609" w:type="pct"/>
            <w:shd w:val="clear" w:color="auto" w:fill="auto"/>
            <w:noWrap/>
            <w:vAlign w:val="center"/>
            <w:hideMark/>
          </w:tcPr>
          <w:p w14:paraId="62806974"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Cárdenas</w:t>
            </w:r>
          </w:p>
        </w:tc>
        <w:tc>
          <w:tcPr>
            <w:tcW w:w="561" w:type="pct"/>
            <w:shd w:val="clear" w:color="auto" w:fill="auto"/>
            <w:vAlign w:val="center"/>
            <w:hideMark/>
          </w:tcPr>
          <w:p w14:paraId="735A84CB"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74,964</w:t>
            </w:r>
          </w:p>
        </w:tc>
        <w:tc>
          <w:tcPr>
            <w:tcW w:w="642" w:type="pct"/>
            <w:shd w:val="clear" w:color="auto" w:fill="auto"/>
            <w:vAlign w:val="center"/>
            <w:hideMark/>
          </w:tcPr>
          <w:p w14:paraId="72A55109"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4.22%</w:t>
            </w:r>
          </w:p>
        </w:tc>
        <w:tc>
          <w:tcPr>
            <w:tcW w:w="723" w:type="pct"/>
            <w:shd w:val="clear" w:color="auto" w:fill="auto"/>
            <w:vAlign w:val="center"/>
            <w:hideMark/>
          </w:tcPr>
          <w:p w14:paraId="4B22B8AF"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$308,948.24</w:t>
            </w:r>
          </w:p>
        </w:tc>
        <w:tc>
          <w:tcPr>
            <w:tcW w:w="403" w:type="pct"/>
            <w:vMerge/>
            <w:vAlign w:val="center"/>
            <w:hideMark/>
          </w:tcPr>
          <w:p w14:paraId="0E13F981"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2F577ADE"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$61,789.65</w:t>
            </w:r>
          </w:p>
        </w:tc>
      </w:tr>
      <w:tr w:rsidR="00514A78" w:rsidRPr="00514A78" w14:paraId="61ECB456" w14:textId="77777777" w:rsidTr="000E4250">
        <w:trPr>
          <w:trHeight w:val="315"/>
        </w:trPr>
        <w:tc>
          <w:tcPr>
            <w:tcW w:w="236" w:type="pct"/>
            <w:shd w:val="clear" w:color="auto" w:fill="auto"/>
            <w:vAlign w:val="center"/>
            <w:hideMark/>
          </w:tcPr>
          <w:p w14:paraId="18E48ACB"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4</w:t>
            </w:r>
          </w:p>
        </w:tc>
        <w:tc>
          <w:tcPr>
            <w:tcW w:w="1609" w:type="pct"/>
            <w:shd w:val="clear" w:color="auto" w:fill="auto"/>
            <w:noWrap/>
            <w:vAlign w:val="center"/>
            <w:hideMark/>
          </w:tcPr>
          <w:p w14:paraId="12AD4F9C"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Centla</w:t>
            </w:r>
          </w:p>
        </w:tc>
        <w:tc>
          <w:tcPr>
            <w:tcW w:w="561" w:type="pct"/>
            <w:shd w:val="clear" w:color="auto" w:fill="auto"/>
            <w:vAlign w:val="center"/>
            <w:hideMark/>
          </w:tcPr>
          <w:p w14:paraId="1DD3E08D"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77,764</w:t>
            </w:r>
          </w:p>
        </w:tc>
        <w:tc>
          <w:tcPr>
            <w:tcW w:w="642" w:type="pct"/>
            <w:shd w:val="clear" w:color="auto" w:fill="auto"/>
            <w:vAlign w:val="center"/>
            <w:hideMark/>
          </w:tcPr>
          <w:p w14:paraId="645A42A2"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4.38%</w:t>
            </w:r>
          </w:p>
        </w:tc>
        <w:tc>
          <w:tcPr>
            <w:tcW w:w="723" w:type="pct"/>
            <w:shd w:val="clear" w:color="auto" w:fill="auto"/>
            <w:vAlign w:val="center"/>
            <w:hideMark/>
          </w:tcPr>
          <w:p w14:paraId="75BB30A4"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$320,487.85</w:t>
            </w:r>
          </w:p>
        </w:tc>
        <w:tc>
          <w:tcPr>
            <w:tcW w:w="403" w:type="pct"/>
            <w:vMerge/>
            <w:vAlign w:val="center"/>
            <w:hideMark/>
          </w:tcPr>
          <w:p w14:paraId="29460415"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7E1760E2"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$64,097.57</w:t>
            </w:r>
          </w:p>
        </w:tc>
      </w:tr>
      <w:tr w:rsidR="00514A78" w:rsidRPr="00514A78" w14:paraId="4D7FF9F4" w14:textId="77777777" w:rsidTr="000E4250">
        <w:trPr>
          <w:trHeight w:val="315"/>
        </w:trPr>
        <w:tc>
          <w:tcPr>
            <w:tcW w:w="236" w:type="pct"/>
            <w:shd w:val="clear" w:color="auto" w:fill="auto"/>
            <w:vAlign w:val="center"/>
            <w:hideMark/>
          </w:tcPr>
          <w:p w14:paraId="50CF395B"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5</w:t>
            </w:r>
          </w:p>
        </w:tc>
        <w:tc>
          <w:tcPr>
            <w:tcW w:w="1609" w:type="pct"/>
            <w:shd w:val="clear" w:color="auto" w:fill="auto"/>
            <w:noWrap/>
            <w:vAlign w:val="center"/>
            <w:hideMark/>
          </w:tcPr>
          <w:p w14:paraId="38D84A66"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Centro</w:t>
            </w:r>
          </w:p>
        </w:tc>
        <w:tc>
          <w:tcPr>
            <w:tcW w:w="561" w:type="pct"/>
            <w:shd w:val="clear" w:color="auto" w:fill="auto"/>
            <w:vAlign w:val="center"/>
            <w:hideMark/>
          </w:tcPr>
          <w:p w14:paraId="5CAB0BEF"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85,314</w:t>
            </w:r>
          </w:p>
        </w:tc>
        <w:tc>
          <w:tcPr>
            <w:tcW w:w="642" w:type="pct"/>
            <w:shd w:val="clear" w:color="auto" w:fill="auto"/>
            <w:vAlign w:val="center"/>
            <w:hideMark/>
          </w:tcPr>
          <w:p w14:paraId="28F5CAB5"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4.81%</w:t>
            </w:r>
          </w:p>
        </w:tc>
        <w:tc>
          <w:tcPr>
            <w:tcW w:w="723" w:type="pct"/>
            <w:shd w:val="clear" w:color="auto" w:fill="auto"/>
            <w:vAlign w:val="center"/>
            <w:hideMark/>
          </w:tcPr>
          <w:p w14:paraId="786E5765"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$351,603.58</w:t>
            </w:r>
          </w:p>
        </w:tc>
        <w:tc>
          <w:tcPr>
            <w:tcW w:w="403" w:type="pct"/>
            <w:vMerge/>
            <w:vAlign w:val="center"/>
            <w:hideMark/>
          </w:tcPr>
          <w:p w14:paraId="3C1BAF22"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0D1A857E"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$70,320.72</w:t>
            </w:r>
          </w:p>
        </w:tc>
      </w:tr>
      <w:tr w:rsidR="00514A78" w:rsidRPr="00514A78" w14:paraId="735DCF12" w14:textId="77777777" w:rsidTr="000E4250">
        <w:trPr>
          <w:trHeight w:val="315"/>
        </w:trPr>
        <w:tc>
          <w:tcPr>
            <w:tcW w:w="236" w:type="pct"/>
            <w:shd w:val="clear" w:color="auto" w:fill="auto"/>
            <w:vAlign w:val="center"/>
            <w:hideMark/>
          </w:tcPr>
          <w:p w14:paraId="41A4F4E9"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6</w:t>
            </w:r>
          </w:p>
        </w:tc>
        <w:tc>
          <w:tcPr>
            <w:tcW w:w="1609" w:type="pct"/>
            <w:shd w:val="clear" w:color="auto" w:fill="auto"/>
            <w:noWrap/>
            <w:vAlign w:val="center"/>
            <w:hideMark/>
          </w:tcPr>
          <w:p w14:paraId="70545E5E"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Centro</w:t>
            </w:r>
          </w:p>
        </w:tc>
        <w:tc>
          <w:tcPr>
            <w:tcW w:w="561" w:type="pct"/>
            <w:shd w:val="clear" w:color="auto" w:fill="auto"/>
            <w:vAlign w:val="center"/>
            <w:hideMark/>
          </w:tcPr>
          <w:p w14:paraId="6FB5202D"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83,864</w:t>
            </w:r>
          </w:p>
        </w:tc>
        <w:tc>
          <w:tcPr>
            <w:tcW w:w="642" w:type="pct"/>
            <w:shd w:val="clear" w:color="auto" w:fill="auto"/>
            <w:vAlign w:val="center"/>
            <w:hideMark/>
          </w:tcPr>
          <w:p w14:paraId="12A04B12"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4.72%</w:t>
            </w:r>
          </w:p>
        </w:tc>
        <w:tc>
          <w:tcPr>
            <w:tcW w:w="723" w:type="pct"/>
            <w:shd w:val="clear" w:color="auto" w:fill="auto"/>
            <w:vAlign w:val="center"/>
            <w:hideMark/>
          </w:tcPr>
          <w:p w14:paraId="2A6CBA99"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$345,627.71</w:t>
            </w:r>
          </w:p>
        </w:tc>
        <w:tc>
          <w:tcPr>
            <w:tcW w:w="403" w:type="pct"/>
            <w:vMerge/>
            <w:vAlign w:val="center"/>
            <w:hideMark/>
          </w:tcPr>
          <w:p w14:paraId="283F36E2"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1C293187"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$69,125.54</w:t>
            </w:r>
          </w:p>
        </w:tc>
      </w:tr>
      <w:tr w:rsidR="00514A78" w:rsidRPr="00514A78" w14:paraId="7F429782" w14:textId="77777777" w:rsidTr="000E4250">
        <w:trPr>
          <w:trHeight w:val="315"/>
        </w:trPr>
        <w:tc>
          <w:tcPr>
            <w:tcW w:w="236" w:type="pct"/>
            <w:shd w:val="clear" w:color="auto" w:fill="auto"/>
            <w:vAlign w:val="center"/>
            <w:hideMark/>
          </w:tcPr>
          <w:p w14:paraId="70DDED3B"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7</w:t>
            </w:r>
          </w:p>
        </w:tc>
        <w:tc>
          <w:tcPr>
            <w:tcW w:w="1609" w:type="pct"/>
            <w:shd w:val="clear" w:color="auto" w:fill="auto"/>
            <w:noWrap/>
            <w:vAlign w:val="center"/>
            <w:hideMark/>
          </w:tcPr>
          <w:p w14:paraId="0CE2EED7"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Centro</w:t>
            </w:r>
          </w:p>
        </w:tc>
        <w:tc>
          <w:tcPr>
            <w:tcW w:w="561" w:type="pct"/>
            <w:shd w:val="clear" w:color="auto" w:fill="auto"/>
            <w:vAlign w:val="center"/>
            <w:hideMark/>
          </w:tcPr>
          <w:p w14:paraId="78F17210"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87,830</w:t>
            </w:r>
          </w:p>
        </w:tc>
        <w:tc>
          <w:tcPr>
            <w:tcW w:w="642" w:type="pct"/>
            <w:shd w:val="clear" w:color="auto" w:fill="auto"/>
            <w:vAlign w:val="center"/>
            <w:hideMark/>
          </w:tcPr>
          <w:p w14:paraId="61B1C659"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4.95%</w:t>
            </w:r>
          </w:p>
        </w:tc>
        <w:tc>
          <w:tcPr>
            <w:tcW w:w="723" w:type="pct"/>
            <w:shd w:val="clear" w:color="auto" w:fill="auto"/>
            <w:vAlign w:val="center"/>
            <w:hideMark/>
          </w:tcPr>
          <w:p w14:paraId="7C132BF4"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$361,972.74</w:t>
            </w:r>
          </w:p>
        </w:tc>
        <w:tc>
          <w:tcPr>
            <w:tcW w:w="403" w:type="pct"/>
            <w:vMerge/>
            <w:vAlign w:val="center"/>
            <w:hideMark/>
          </w:tcPr>
          <w:p w14:paraId="068A37DD"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7F8DD573"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$72,394.55</w:t>
            </w:r>
          </w:p>
        </w:tc>
      </w:tr>
      <w:tr w:rsidR="00514A78" w:rsidRPr="00514A78" w14:paraId="36E6C708" w14:textId="77777777" w:rsidTr="000E4250">
        <w:trPr>
          <w:trHeight w:val="315"/>
        </w:trPr>
        <w:tc>
          <w:tcPr>
            <w:tcW w:w="236" w:type="pct"/>
            <w:shd w:val="clear" w:color="auto" w:fill="auto"/>
            <w:vAlign w:val="center"/>
            <w:hideMark/>
          </w:tcPr>
          <w:p w14:paraId="38BB4472"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8</w:t>
            </w:r>
          </w:p>
        </w:tc>
        <w:tc>
          <w:tcPr>
            <w:tcW w:w="1609" w:type="pct"/>
            <w:shd w:val="clear" w:color="auto" w:fill="auto"/>
            <w:noWrap/>
            <w:vAlign w:val="center"/>
            <w:hideMark/>
          </w:tcPr>
          <w:p w14:paraId="033DAAC0"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Centro</w:t>
            </w:r>
          </w:p>
        </w:tc>
        <w:tc>
          <w:tcPr>
            <w:tcW w:w="561" w:type="pct"/>
            <w:shd w:val="clear" w:color="auto" w:fill="auto"/>
            <w:vAlign w:val="center"/>
            <w:hideMark/>
          </w:tcPr>
          <w:p w14:paraId="6FCC395A"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87,135</w:t>
            </w:r>
          </w:p>
        </w:tc>
        <w:tc>
          <w:tcPr>
            <w:tcW w:w="642" w:type="pct"/>
            <w:shd w:val="clear" w:color="auto" w:fill="auto"/>
            <w:vAlign w:val="center"/>
            <w:hideMark/>
          </w:tcPr>
          <w:p w14:paraId="08C114FB"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4.91%</w:t>
            </w:r>
          </w:p>
        </w:tc>
        <w:tc>
          <w:tcPr>
            <w:tcW w:w="723" w:type="pct"/>
            <w:shd w:val="clear" w:color="auto" w:fill="auto"/>
            <w:vAlign w:val="center"/>
            <w:hideMark/>
          </w:tcPr>
          <w:p w14:paraId="724E9F26"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$359,108.44</w:t>
            </w:r>
          </w:p>
        </w:tc>
        <w:tc>
          <w:tcPr>
            <w:tcW w:w="403" w:type="pct"/>
            <w:vMerge/>
            <w:vAlign w:val="center"/>
            <w:hideMark/>
          </w:tcPr>
          <w:p w14:paraId="4D3C56F6"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1EE0F369"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$71,821.69</w:t>
            </w:r>
          </w:p>
        </w:tc>
      </w:tr>
      <w:tr w:rsidR="00514A78" w:rsidRPr="00514A78" w14:paraId="2D2CED9C" w14:textId="77777777" w:rsidTr="000E4250">
        <w:trPr>
          <w:trHeight w:val="315"/>
        </w:trPr>
        <w:tc>
          <w:tcPr>
            <w:tcW w:w="236" w:type="pct"/>
            <w:shd w:val="clear" w:color="auto" w:fill="auto"/>
            <w:vAlign w:val="center"/>
            <w:hideMark/>
          </w:tcPr>
          <w:p w14:paraId="4E6E471C"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9</w:t>
            </w:r>
          </w:p>
        </w:tc>
        <w:tc>
          <w:tcPr>
            <w:tcW w:w="1609" w:type="pct"/>
            <w:shd w:val="clear" w:color="auto" w:fill="auto"/>
            <w:noWrap/>
            <w:vAlign w:val="center"/>
            <w:hideMark/>
          </w:tcPr>
          <w:p w14:paraId="77AAE8C4"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Centro</w:t>
            </w:r>
          </w:p>
        </w:tc>
        <w:tc>
          <w:tcPr>
            <w:tcW w:w="561" w:type="pct"/>
            <w:shd w:val="clear" w:color="auto" w:fill="auto"/>
            <w:vAlign w:val="center"/>
            <w:hideMark/>
          </w:tcPr>
          <w:p w14:paraId="72B0A11C"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95,936</w:t>
            </w:r>
          </w:p>
        </w:tc>
        <w:tc>
          <w:tcPr>
            <w:tcW w:w="642" w:type="pct"/>
            <w:shd w:val="clear" w:color="auto" w:fill="auto"/>
            <w:vAlign w:val="center"/>
            <w:hideMark/>
          </w:tcPr>
          <w:p w14:paraId="7D219D63"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5.40%</w:t>
            </w:r>
          </w:p>
        </w:tc>
        <w:tc>
          <w:tcPr>
            <w:tcW w:w="723" w:type="pct"/>
            <w:shd w:val="clear" w:color="auto" w:fill="auto"/>
            <w:vAlign w:val="center"/>
            <w:hideMark/>
          </w:tcPr>
          <w:p w14:paraId="0D9FE6AA"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$395,379.90</w:t>
            </w:r>
          </w:p>
        </w:tc>
        <w:tc>
          <w:tcPr>
            <w:tcW w:w="403" w:type="pct"/>
            <w:vMerge/>
            <w:vAlign w:val="center"/>
            <w:hideMark/>
          </w:tcPr>
          <w:p w14:paraId="4A60B96F"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7BB6C192"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$79,075.98</w:t>
            </w:r>
          </w:p>
        </w:tc>
      </w:tr>
      <w:tr w:rsidR="00514A78" w:rsidRPr="00514A78" w14:paraId="5DE95F38" w14:textId="77777777" w:rsidTr="000E4250">
        <w:trPr>
          <w:trHeight w:val="315"/>
        </w:trPr>
        <w:tc>
          <w:tcPr>
            <w:tcW w:w="236" w:type="pct"/>
            <w:shd w:val="clear" w:color="auto" w:fill="auto"/>
            <w:vAlign w:val="center"/>
            <w:hideMark/>
          </w:tcPr>
          <w:p w14:paraId="2FA43EFB"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10</w:t>
            </w:r>
          </w:p>
        </w:tc>
        <w:tc>
          <w:tcPr>
            <w:tcW w:w="1609" w:type="pct"/>
            <w:shd w:val="clear" w:color="auto" w:fill="auto"/>
            <w:noWrap/>
            <w:vAlign w:val="center"/>
            <w:hideMark/>
          </w:tcPr>
          <w:p w14:paraId="4B10FDB2"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Centro</w:t>
            </w:r>
          </w:p>
        </w:tc>
        <w:tc>
          <w:tcPr>
            <w:tcW w:w="561" w:type="pct"/>
            <w:shd w:val="clear" w:color="auto" w:fill="auto"/>
            <w:vAlign w:val="center"/>
            <w:hideMark/>
          </w:tcPr>
          <w:p w14:paraId="65E17FB0"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79,119</w:t>
            </w:r>
          </w:p>
        </w:tc>
        <w:tc>
          <w:tcPr>
            <w:tcW w:w="642" w:type="pct"/>
            <w:shd w:val="clear" w:color="auto" w:fill="auto"/>
            <w:vAlign w:val="center"/>
            <w:hideMark/>
          </w:tcPr>
          <w:p w14:paraId="16EC5D9B"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4.46%</w:t>
            </w:r>
          </w:p>
        </w:tc>
        <w:tc>
          <w:tcPr>
            <w:tcW w:w="723" w:type="pct"/>
            <w:shd w:val="clear" w:color="auto" w:fill="auto"/>
            <w:vAlign w:val="center"/>
            <w:hideMark/>
          </w:tcPr>
          <w:p w14:paraId="04CFAE8C"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$326,072.20</w:t>
            </w:r>
          </w:p>
        </w:tc>
        <w:tc>
          <w:tcPr>
            <w:tcW w:w="403" w:type="pct"/>
            <w:vMerge/>
            <w:vAlign w:val="center"/>
            <w:hideMark/>
          </w:tcPr>
          <w:p w14:paraId="2E67DCEB"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6192F5B7"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$65,214.44</w:t>
            </w:r>
          </w:p>
        </w:tc>
      </w:tr>
      <w:tr w:rsidR="00514A78" w:rsidRPr="00514A78" w14:paraId="67322880" w14:textId="77777777" w:rsidTr="000E4250">
        <w:trPr>
          <w:trHeight w:val="266"/>
        </w:trPr>
        <w:tc>
          <w:tcPr>
            <w:tcW w:w="236" w:type="pct"/>
            <w:shd w:val="clear" w:color="auto" w:fill="auto"/>
            <w:vAlign w:val="center"/>
            <w:hideMark/>
          </w:tcPr>
          <w:p w14:paraId="5CF6DD34"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11</w:t>
            </w:r>
          </w:p>
        </w:tc>
        <w:tc>
          <w:tcPr>
            <w:tcW w:w="1609" w:type="pct"/>
            <w:shd w:val="clear" w:color="auto" w:fill="auto"/>
            <w:noWrap/>
            <w:vAlign w:val="center"/>
            <w:hideMark/>
          </w:tcPr>
          <w:p w14:paraId="05910962"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Comalcalco/Cunduacán</w:t>
            </w:r>
          </w:p>
        </w:tc>
        <w:tc>
          <w:tcPr>
            <w:tcW w:w="561" w:type="pct"/>
            <w:shd w:val="clear" w:color="auto" w:fill="auto"/>
            <w:vAlign w:val="center"/>
            <w:hideMark/>
          </w:tcPr>
          <w:p w14:paraId="2821A0E3"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78,465</w:t>
            </w:r>
          </w:p>
        </w:tc>
        <w:tc>
          <w:tcPr>
            <w:tcW w:w="642" w:type="pct"/>
            <w:shd w:val="clear" w:color="auto" w:fill="auto"/>
            <w:vAlign w:val="center"/>
            <w:hideMark/>
          </w:tcPr>
          <w:p w14:paraId="2D25E55B"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4.42%</w:t>
            </w:r>
          </w:p>
        </w:tc>
        <w:tc>
          <w:tcPr>
            <w:tcW w:w="723" w:type="pct"/>
            <w:shd w:val="clear" w:color="auto" w:fill="auto"/>
            <w:vAlign w:val="center"/>
            <w:hideMark/>
          </w:tcPr>
          <w:p w14:paraId="21DC9313"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$323,376.87</w:t>
            </w:r>
          </w:p>
        </w:tc>
        <w:tc>
          <w:tcPr>
            <w:tcW w:w="403" w:type="pct"/>
            <w:vMerge/>
            <w:vAlign w:val="center"/>
            <w:hideMark/>
          </w:tcPr>
          <w:p w14:paraId="26031087"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5E9DCF9A"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$64,675.37</w:t>
            </w:r>
          </w:p>
        </w:tc>
      </w:tr>
      <w:tr w:rsidR="00514A78" w:rsidRPr="00514A78" w14:paraId="2A7C7003" w14:textId="77777777" w:rsidTr="000E4250">
        <w:trPr>
          <w:trHeight w:val="315"/>
        </w:trPr>
        <w:tc>
          <w:tcPr>
            <w:tcW w:w="236" w:type="pct"/>
            <w:shd w:val="clear" w:color="auto" w:fill="auto"/>
            <w:vAlign w:val="center"/>
            <w:hideMark/>
          </w:tcPr>
          <w:p w14:paraId="0A48A360"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12</w:t>
            </w:r>
          </w:p>
        </w:tc>
        <w:tc>
          <w:tcPr>
            <w:tcW w:w="1609" w:type="pct"/>
            <w:shd w:val="clear" w:color="auto" w:fill="auto"/>
            <w:noWrap/>
            <w:vAlign w:val="center"/>
            <w:hideMark/>
          </w:tcPr>
          <w:p w14:paraId="1FB04A6E"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Comalcalco</w:t>
            </w:r>
          </w:p>
        </w:tc>
        <w:tc>
          <w:tcPr>
            <w:tcW w:w="561" w:type="pct"/>
            <w:shd w:val="clear" w:color="auto" w:fill="auto"/>
            <w:vAlign w:val="center"/>
            <w:hideMark/>
          </w:tcPr>
          <w:p w14:paraId="49242C69"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82,137</w:t>
            </w:r>
          </w:p>
        </w:tc>
        <w:tc>
          <w:tcPr>
            <w:tcW w:w="642" w:type="pct"/>
            <w:shd w:val="clear" w:color="auto" w:fill="auto"/>
            <w:vAlign w:val="center"/>
            <w:hideMark/>
          </w:tcPr>
          <w:p w14:paraId="0BC898CE"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4.63%</w:t>
            </w:r>
          </w:p>
        </w:tc>
        <w:tc>
          <w:tcPr>
            <w:tcW w:w="723" w:type="pct"/>
            <w:shd w:val="clear" w:color="auto" w:fill="auto"/>
            <w:vAlign w:val="center"/>
            <w:hideMark/>
          </w:tcPr>
          <w:p w14:paraId="299AD674"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$338,510.24</w:t>
            </w:r>
          </w:p>
        </w:tc>
        <w:tc>
          <w:tcPr>
            <w:tcW w:w="403" w:type="pct"/>
            <w:vMerge/>
            <w:vAlign w:val="center"/>
            <w:hideMark/>
          </w:tcPr>
          <w:p w14:paraId="3421DBC9"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11F977FA"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$67,702.05</w:t>
            </w:r>
          </w:p>
        </w:tc>
      </w:tr>
      <w:tr w:rsidR="00514A78" w:rsidRPr="00514A78" w14:paraId="15F13C98" w14:textId="77777777" w:rsidTr="000E4250">
        <w:trPr>
          <w:trHeight w:val="315"/>
        </w:trPr>
        <w:tc>
          <w:tcPr>
            <w:tcW w:w="236" w:type="pct"/>
            <w:shd w:val="clear" w:color="auto" w:fill="auto"/>
            <w:vAlign w:val="center"/>
            <w:hideMark/>
          </w:tcPr>
          <w:p w14:paraId="02E1F3CB"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13</w:t>
            </w:r>
          </w:p>
        </w:tc>
        <w:tc>
          <w:tcPr>
            <w:tcW w:w="1609" w:type="pct"/>
            <w:shd w:val="clear" w:color="auto" w:fill="auto"/>
            <w:noWrap/>
            <w:vAlign w:val="center"/>
            <w:hideMark/>
          </w:tcPr>
          <w:p w14:paraId="315257E9"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Cunduacán</w:t>
            </w:r>
          </w:p>
        </w:tc>
        <w:tc>
          <w:tcPr>
            <w:tcW w:w="561" w:type="pct"/>
            <w:shd w:val="clear" w:color="auto" w:fill="auto"/>
            <w:vAlign w:val="center"/>
            <w:hideMark/>
          </w:tcPr>
          <w:p w14:paraId="3F036315"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84,092</w:t>
            </w:r>
          </w:p>
        </w:tc>
        <w:tc>
          <w:tcPr>
            <w:tcW w:w="642" w:type="pct"/>
            <w:shd w:val="clear" w:color="auto" w:fill="auto"/>
            <w:vAlign w:val="center"/>
            <w:hideMark/>
          </w:tcPr>
          <w:p w14:paraId="7FFCFA83"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4.74%</w:t>
            </w:r>
          </w:p>
        </w:tc>
        <w:tc>
          <w:tcPr>
            <w:tcW w:w="723" w:type="pct"/>
            <w:shd w:val="clear" w:color="auto" w:fill="auto"/>
            <w:vAlign w:val="center"/>
            <w:hideMark/>
          </w:tcPr>
          <w:p w14:paraId="27236449"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$346,567.36</w:t>
            </w:r>
          </w:p>
        </w:tc>
        <w:tc>
          <w:tcPr>
            <w:tcW w:w="403" w:type="pct"/>
            <w:vMerge/>
            <w:vAlign w:val="center"/>
            <w:hideMark/>
          </w:tcPr>
          <w:p w14:paraId="13CAFF31"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6DACB6E4"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$69,313.47</w:t>
            </w:r>
          </w:p>
        </w:tc>
      </w:tr>
      <w:tr w:rsidR="00514A78" w:rsidRPr="00514A78" w14:paraId="2B031CF1" w14:textId="77777777" w:rsidTr="000E4250">
        <w:trPr>
          <w:trHeight w:val="294"/>
        </w:trPr>
        <w:tc>
          <w:tcPr>
            <w:tcW w:w="236" w:type="pct"/>
            <w:shd w:val="clear" w:color="auto" w:fill="auto"/>
            <w:vAlign w:val="center"/>
            <w:hideMark/>
          </w:tcPr>
          <w:p w14:paraId="62AE5F1F"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14</w:t>
            </w:r>
          </w:p>
        </w:tc>
        <w:tc>
          <w:tcPr>
            <w:tcW w:w="1609" w:type="pct"/>
            <w:shd w:val="clear" w:color="auto" w:fill="auto"/>
            <w:noWrap/>
            <w:vAlign w:val="center"/>
            <w:hideMark/>
          </w:tcPr>
          <w:p w14:paraId="5684022D"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 xml:space="preserve">Emiliano Zapata, </w:t>
            </w:r>
            <w:proofErr w:type="spellStart"/>
            <w:r w:rsidRPr="00514A78">
              <w:rPr>
                <w:rFonts w:eastAsia="Times New Roman"/>
                <w:spacing w:val="-10"/>
                <w:kern w:val="0"/>
                <w:sz w:val="18"/>
                <w:szCs w:val="18"/>
                <w:lang w:eastAsia="es-MX"/>
                <w14:ligatures w14:val="none"/>
              </w:rPr>
              <w:t>Jonuta</w:t>
            </w:r>
            <w:proofErr w:type="spellEnd"/>
            <w:r w:rsidRPr="00514A78">
              <w:rPr>
                <w:rFonts w:eastAsia="Times New Roman"/>
                <w:spacing w:val="-10"/>
                <w:kern w:val="0"/>
                <w:sz w:val="18"/>
                <w:szCs w:val="18"/>
                <w:lang w:eastAsia="es-MX"/>
                <w14:ligatures w14:val="none"/>
              </w:rPr>
              <w:t>, Macuspana</w:t>
            </w:r>
          </w:p>
        </w:tc>
        <w:tc>
          <w:tcPr>
            <w:tcW w:w="561" w:type="pct"/>
            <w:shd w:val="clear" w:color="auto" w:fill="auto"/>
            <w:vAlign w:val="center"/>
            <w:hideMark/>
          </w:tcPr>
          <w:p w14:paraId="215450FD"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97,347</w:t>
            </w:r>
          </w:p>
        </w:tc>
        <w:tc>
          <w:tcPr>
            <w:tcW w:w="642" w:type="pct"/>
            <w:shd w:val="clear" w:color="auto" w:fill="auto"/>
            <w:vAlign w:val="center"/>
            <w:hideMark/>
          </w:tcPr>
          <w:p w14:paraId="3AB3CF2E"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5.48%</w:t>
            </w:r>
          </w:p>
        </w:tc>
        <w:tc>
          <w:tcPr>
            <w:tcW w:w="723" w:type="pct"/>
            <w:shd w:val="clear" w:color="auto" w:fill="auto"/>
            <w:vAlign w:val="center"/>
            <w:hideMark/>
          </w:tcPr>
          <w:p w14:paraId="1F1FE650"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$401,195.04</w:t>
            </w:r>
          </w:p>
        </w:tc>
        <w:tc>
          <w:tcPr>
            <w:tcW w:w="403" w:type="pct"/>
            <w:vMerge/>
            <w:vAlign w:val="center"/>
            <w:hideMark/>
          </w:tcPr>
          <w:p w14:paraId="25D3534C"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372F41FB"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$80,239.01</w:t>
            </w:r>
          </w:p>
        </w:tc>
      </w:tr>
      <w:tr w:rsidR="00514A78" w:rsidRPr="00514A78" w14:paraId="17243E24" w14:textId="77777777" w:rsidTr="000E4250">
        <w:trPr>
          <w:trHeight w:val="260"/>
        </w:trPr>
        <w:tc>
          <w:tcPr>
            <w:tcW w:w="236" w:type="pct"/>
            <w:shd w:val="clear" w:color="auto" w:fill="auto"/>
            <w:vAlign w:val="center"/>
            <w:hideMark/>
          </w:tcPr>
          <w:p w14:paraId="317A0C77"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15</w:t>
            </w:r>
          </w:p>
        </w:tc>
        <w:tc>
          <w:tcPr>
            <w:tcW w:w="1609" w:type="pct"/>
            <w:shd w:val="clear" w:color="auto" w:fill="auto"/>
            <w:noWrap/>
            <w:vAlign w:val="center"/>
            <w:hideMark/>
          </w:tcPr>
          <w:p w14:paraId="323CEC93"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 xml:space="preserve">Huimanguillo </w:t>
            </w:r>
          </w:p>
        </w:tc>
        <w:tc>
          <w:tcPr>
            <w:tcW w:w="561" w:type="pct"/>
            <w:shd w:val="clear" w:color="auto" w:fill="auto"/>
            <w:vAlign w:val="center"/>
            <w:hideMark/>
          </w:tcPr>
          <w:p w14:paraId="664C97D8"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76,061</w:t>
            </w:r>
          </w:p>
        </w:tc>
        <w:tc>
          <w:tcPr>
            <w:tcW w:w="642" w:type="pct"/>
            <w:shd w:val="clear" w:color="auto" w:fill="auto"/>
            <w:vAlign w:val="center"/>
            <w:hideMark/>
          </w:tcPr>
          <w:p w14:paraId="236A2E82"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4.28%</w:t>
            </w:r>
          </w:p>
        </w:tc>
        <w:tc>
          <w:tcPr>
            <w:tcW w:w="723" w:type="pct"/>
            <w:shd w:val="clear" w:color="auto" w:fill="auto"/>
            <w:vAlign w:val="center"/>
            <w:hideMark/>
          </w:tcPr>
          <w:p w14:paraId="3B87006D"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$313,469.30</w:t>
            </w:r>
          </w:p>
        </w:tc>
        <w:tc>
          <w:tcPr>
            <w:tcW w:w="403" w:type="pct"/>
            <w:vMerge/>
            <w:vAlign w:val="center"/>
            <w:hideMark/>
          </w:tcPr>
          <w:p w14:paraId="45282F36"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31A80DC0"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$62,693.86</w:t>
            </w:r>
          </w:p>
        </w:tc>
      </w:tr>
      <w:tr w:rsidR="00514A78" w:rsidRPr="00514A78" w14:paraId="240C04C2" w14:textId="77777777" w:rsidTr="000E4250">
        <w:trPr>
          <w:trHeight w:val="264"/>
        </w:trPr>
        <w:tc>
          <w:tcPr>
            <w:tcW w:w="236" w:type="pct"/>
            <w:shd w:val="clear" w:color="auto" w:fill="auto"/>
            <w:vAlign w:val="center"/>
            <w:hideMark/>
          </w:tcPr>
          <w:p w14:paraId="6470B82D"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16</w:t>
            </w:r>
          </w:p>
        </w:tc>
        <w:tc>
          <w:tcPr>
            <w:tcW w:w="1609" w:type="pct"/>
            <w:shd w:val="clear" w:color="auto" w:fill="auto"/>
            <w:noWrap/>
            <w:vAlign w:val="center"/>
            <w:hideMark/>
          </w:tcPr>
          <w:p w14:paraId="53569307"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Macuspana, Jalapa</w:t>
            </w:r>
          </w:p>
        </w:tc>
        <w:tc>
          <w:tcPr>
            <w:tcW w:w="561" w:type="pct"/>
            <w:shd w:val="clear" w:color="auto" w:fill="auto"/>
            <w:vAlign w:val="center"/>
            <w:hideMark/>
          </w:tcPr>
          <w:p w14:paraId="3B5356F9"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99,057</w:t>
            </w:r>
          </w:p>
        </w:tc>
        <w:tc>
          <w:tcPr>
            <w:tcW w:w="642" w:type="pct"/>
            <w:shd w:val="clear" w:color="auto" w:fill="auto"/>
            <w:vAlign w:val="center"/>
            <w:hideMark/>
          </w:tcPr>
          <w:p w14:paraId="073C69B9"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5.58%</w:t>
            </w:r>
          </w:p>
        </w:tc>
        <w:tc>
          <w:tcPr>
            <w:tcW w:w="723" w:type="pct"/>
            <w:shd w:val="clear" w:color="auto" w:fill="auto"/>
            <w:vAlign w:val="center"/>
            <w:hideMark/>
          </w:tcPr>
          <w:p w14:paraId="33B09AD3"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$408,242.44</w:t>
            </w:r>
          </w:p>
        </w:tc>
        <w:tc>
          <w:tcPr>
            <w:tcW w:w="403" w:type="pct"/>
            <w:vMerge/>
            <w:vAlign w:val="center"/>
            <w:hideMark/>
          </w:tcPr>
          <w:p w14:paraId="19306879"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712498EF"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$81,648.49</w:t>
            </w:r>
          </w:p>
        </w:tc>
      </w:tr>
      <w:tr w:rsidR="00514A78" w:rsidRPr="00514A78" w14:paraId="77E60F15" w14:textId="77777777" w:rsidTr="000E4250">
        <w:trPr>
          <w:trHeight w:val="268"/>
        </w:trPr>
        <w:tc>
          <w:tcPr>
            <w:tcW w:w="236" w:type="pct"/>
            <w:shd w:val="clear" w:color="auto" w:fill="auto"/>
            <w:vAlign w:val="center"/>
            <w:hideMark/>
          </w:tcPr>
          <w:p w14:paraId="7C1F4ABC"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17</w:t>
            </w:r>
          </w:p>
        </w:tc>
        <w:tc>
          <w:tcPr>
            <w:tcW w:w="1609" w:type="pct"/>
            <w:shd w:val="clear" w:color="auto" w:fill="auto"/>
            <w:noWrap/>
            <w:vAlign w:val="center"/>
            <w:hideMark/>
          </w:tcPr>
          <w:p w14:paraId="5782FA58"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 xml:space="preserve">Jalpa de Méndez, </w:t>
            </w:r>
            <w:proofErr w:type="spellStart"/>
            <w:r w:rsidRPr="00514A78">
              <w:rPr>
                <w:rFonts w:eastAsia="Times New Roman"/>
                <w:spacing w:val="-10"/>
                <w:kern w:val="0"/>
                <w:sz w:val="18"/>
                <w:szCs w:val="18"/>
                <w:lang w:eastAsia="es-MX"/>
                <w14:ligatures w14:val="none"/>
              </w:rPr>
              <w:t>Nacajuca</w:t>
            </w:r>
            <w:proofErr w:type="spellEnd"/>
          </w:p>
        </w:tc>
        <w:tc>
          <w:tcPr>
            <w:tcW w:w="561" w:type="pct"/>
            <w:shd w:val="clear" w:color="auto" w:fill="auto"/>
            <w:vAlign w:val="center"/>
            <w:hideMark/>
          </w:tcPr>
          <w:p w14:paraId="56CAD91C"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89,933</w:t>
            </w:r>
          </w:p>
        </w:tc>
        <w:tc>
          <w:tcPr>
            <w:tcW w:w="642" w:type="pct"/>
            <w:shd w:val="clear" w:color="auto" w:fill="auto"/>
            <w:vAlign w:val="center"/>
            <w:hideMark/>
          </w:tcPr>
          <w:p w14:paraId="3EF7EA87"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5.07%</w:t>
            </w:r>
          </w:p>
        </w:tc>
        <w:tc>
          <w:tcPr>
            <w:tcW w:w="723" w:type="pct"/>
            <w:shd w:val="clear" w:color="auto" w:fill="auto"/>
            <w:vAlign w:val="center"/>
            <w:hideMark/>
          </w:tcPr>
          <w:p w14:paraId="47ED1156"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$370,639.81</w:t>
            </w:r>
          </w:p>
        </w:tc>
        <w:tc>
          <w:tcPr>
            <w:tcW w:w="403" w:type="pct"/>
            <w:vMerge/>
            <w:vAlign w:val="center"/>
            <w:hideMark/>
          </w:tcPr>
          <w:p w14:paraId="6CBEF757"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7523C268"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$74,127.96</w:t>
            </w:r>
          </w:p>
        </w:tc>
      </w:tr>
      <w:tr w:rsidR="00514A78" w:rsidRPr="00514A78" w14:paraId="2ABBFBAB" w14:textId="77777777" w:rsidTr="000E4250">
        <w:trPr>
          <w:trHeight w:val="315"/>
        </w:trPr>
        <w:tc>
          <w:tcPr>
            <w:tcW w:w="236" w:type="pct"/>
            <w:shd w:val="clear" w:color="auto" w:fill="auto"/>
            <w:vAlign w:val="center"/>
            <w:hideMark/>
          </w:tcPr>
          <w:p w14:paraId="4FDD89D8"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18</w:t>
            </w:r>
          </w:p>
        </w:tc>
        <w:tc>
          <w:tcPr>
            <w:tcW w:w="1609" w:type="pct"/>
            <w:shd w:val="clear" w:color="auto" w:fill="auto"/>
            <w:noWrap/>
            <w:vAlign w:val="center"/>
            <w:hideMark/>
          </w:tcPr>
          <w:p w14:paraId="00FE0EFF" w14:textId="77777777" w:rsidR="004E7C4D" w:rsidRPr="00514A78" w:rsidRDefault="004E7C4D" w:rsidP="000E4250">
            <w:pPr>
              <w:spacing w:before="20" w:after="20"/>
              <w:rPr>
                <w:rFonts w:eastAsia="Times New Roman"/>
                <w:spacing w:val="-10"/>
                <w:kern w:val="0"/>
                <w:sz w:val="18"/>
                <w:szCs w:val="18"/>
                <w:lang w:eastAsia="es-MX"/>
                <w14:ligatures w14:val="none"/>
              </w:rPr>
            </w:pPr>
            <w:proofErr w:type="spellStart"/>
            <w:r w:rsidRPr="00514A78">
              <w:rPr>
                <w:rFonts w:eastAsia="Times New Roman"/>
                <w:spacing w:val="-10"/>
                <w:kern w:val="0"/>
                <w:sz w:val="18"/>
                <w:szCs w:val="18"/>
                <w:lang w:eastAsia="es-MX"/>
                <w14:ligatures w14:val="none"/>
              </w:rPr>
              <w:t>Nacajuca</w:t>
            </w:r>
            <w:proofErr w:type="spellEnd"/>
          </w:p>
        </w:tc>
        <w:tc>
          <w:tcPr>
            <w:tcW w:w="561" w:type="pct"/>
            <w:shd w:val="clear" w:color="auto" w:fill="auto"/>
            <w:vAlign w:val="center"/>
            <w:hideMark/>
          </w:tcPr>
          <w:p w14:paraId="2D91F2DA"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82,108</w:t>
            </w:r>
          </w:p>
        </w:tc>
        <w:tc>
          <w:tcPr>
            <w:tcW w:w="642" w:type="pct"/>
            <w:shd w:val="clear" w:color="auto" w:fill="auto"/>
            <w:vAlign w:val="center"/>
            <w:hideMark/>
          </w:tcPr>
          <w:p w14:paraId="531E6119"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4.63%</w:t>
            </w:r>
          </w:p>
        </w:tc>
        <w:tc>
          <w:tcPr>
            <w:tcW w:w="723" w:type="pct"/>
            <w:shd w:val="clear" w:color="auto" w:fill="auto"/>
            <w:vAlign w:val="center"/>
            <w:hideMark/>
          </w:tcPr>
          <w:p w14:paraId="4F7FE17F"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$338,390.73</w:t>
            </w:r>
          </w:p>
        </w:tc>
        <w:tc>
          <w:tcPr>
            <w:tcW w:w="403" w:type="pct"/>
            <w:vMerge/>
            <w:vAlign w:val="center"/>
            <w:hideMark/>
          </w:tcPr>
          <w:p w14:paraId="77FAAC63"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66B43757"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$67,678.15</w:t>
            </w:r>
          </w:p>
        </w:tc>
      </w:tr>
      <w:tr w:rsidR="00514A78" w:rsidRPr="00514A78" w14:paraId="1309EF47" w14:textId="77777777" w:rsidTr="000E4250">
        <w:trPr>
          <w:trHeight w:val="362"/>
        </w:trPr>
        <w:tc>
          <w:tcPr>
            <w:tcW w:w="236" w:type="pct"/>
            <w:shd w:val="clear" w:color="auto" w:fill="auto"/>
            <w:vAlign w:val="center"/>
            <w:hideMark/>
          </w:tcPr>
          <w:p w14:paraId="08B29AA7"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19</w:t>
            </w:r>
          </w:p>
        </w:tc>
        <w:tc>
          <w:tcPr>
            <w:tcW w:w="1609" w:type="pct"/>
            <w:shd w:val="clear" w:color="auto" w:fill="auto"/>
            <w:noWrap/>
            <w:vAlign w:val="center"/>
            <w:hideMark/>
          </w:tcPr>
          <w:p w14:paraId="46E3AFBD"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Paraíso, Comalcalco</w:t>
            </w:r>
          </w:p>
        </w:tc>
        <w:tc>
          <w:tcPr>
            <w:tcW w:w="561" w:type="pct"/>
            <w:shd w:val="clear" w:color="auto" w:fill="auto"/>
            <w:vAlign w:val="center"/>
            <w:hideMark/>
          </w:tcPr>
          <w:p w14:paraId="27D9D2E8"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85,746</w:t>
            </w:r>
          </w:p>
        </w:tc>
        <w:tc>
          <w:tcPr>
            <w:tcW w:w="642" w:type="pct"/>
            <w:shd w:val="clear" w:color="auto" w:fill="auto"/>
            <w:vAlign w:val="center"/>
            <w:hideMark/>
          </w:tcPr>
          <w:p w14:paraId="6A7CE1AD"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4.83%</w:t>
            </w:r>
          </w:p>
        </w:tc>
        <w:tc>
          <w:tcPr>
            <w:tcW w:w="723" w:type="pct"/>
            <w:shd w:val="clear" w:color="auto" w:fill="auto"/>
            <w:vAlign w:val="center"/>
            <w:hideMark/>
          </w:tcPr>
          <w:p w14:paraId="53EA8A0E"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$353,383.97</w:t>
            </w:r>
          </w:p>
        </w:tc>
        <w:tc>
          <w:tcPr>
            <w:tcW w:w="403" w:type="pct"/>
            <w:vMerge/>
            <w:vAlign w:val="center"/>
            <w:hideMark/>
          </w:tcPr>
          <w:p w14:paraId="67BF1D9D"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29E00AC5"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$70,676.79</w:t>
            </w:r>
          </w:p>
        </w:tc>
      </w:tr>
      <w:tr w:rsidR="00514A78" w:rsidRPr="00514A78" w14:paraId="2612ED31" w14:textId="77777777" w:rsidTr="000E4250">
        <w:trPr>
          <w:trHeight w:val="254"/>
        </w:trPr>
        <w:tc>
          <w:tcPr>
            <w:tcW w:w="236" w:type="pct"/>
            <w:shd w:val="clear" w:color="auto" w:fill="auto"/>
            <w:vAlign w:val="center"/>
            <w:hideMark/>
          </w:tcPr>
          <w:p w14:paraId="7F2D23BF"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20</w:t>
            </w:r>
          </w:p>
        </w:tc>
        <w:tc>
          <w:tcPr>
            <w:tcW w:w="1609" w:type="pct"/>
            <w:shd w:val="clear" w:color="auto" w:fill="auto"/>
            <w:noWrap/>
            <w:vAlign w:val="center"/>
            <w:hideMark/>
          </w:tcPr>
          <w:p w14:paraId="01C155FE"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Teapa, Tacotalpa</w:t>
            </w:r>
          </w:p>
        </w:tc>
        <w:tc>
          <w:tcPr>
            <w:tcW w:w="561" w:type="pct"/>
            <w:shd w:val="clear" w:color="auto" w:fill="auto"/>
            <w:vAlign w:val="center"/>
            <w:hideMark/>
          </w:tcPr>
          <w:p w14:paraId="710CB1A2"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76,624</w:t>
            </w:r>
          </w:p>
        </w:tc>
        <w:tc>
          <w:tcPr>
            <w:tcW w:w="642" w:type="pct"/>
            <w:shd w:val="clear" w:color="auto" w:fill="auto"/>
            <w:vAlign w:val="center"/>
            <w:hideMark/>
          </w:tcPr>
          <w:p w14:paraId="0F07952F"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4.32%</w:t>
            </w:r>
          </w:p>
        </w:tc>
        <w:tc>
          <w:tcPr>
            <w:tcW w:w="723" w:type="pct"/>
            <w:shd w:val="clear" w:color="auto" w:fill="auto"/>
            <w:vAlign w:val="center"/>
            <w:hideMark/>
          </w:tcPr>
          <w:p w14:paraId="30F2E3E6"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$315,789.58</w:t>
            </w:r>
          </w:p>
        </w:tc>
        <w:tc>
          <w:tcPr>
            <w:tcW w:w="403" w:type="pct"/>
            <w:vMerge/>
            <w:vAlign w:val="center"/>
            <w:hideMark/>
          </w:tcPr>
          <w:p w14:paraId="711DAE64"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1AB8293E"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$63,157.92</w:t>
            </w:r>
          </w:p>
        </w:tc>
      </w:tr>
      <w:tr w:rsidR="00514A78" w:rsidRPr="00514A78" w14:paraId="2BCD9BEE" w14:textId="77777777" w:rsidTr="000E4250">
        <w:trPr>
          <w:trHeight w:val="258"/>
        </w:trPr>
        <w:tc>
          <w:tcPr>
            <w:tcW w:w="236" w:type="pct"/>
            <w:shd w:val="clear" w:color="auto" w:fill="auto"/>
            <w:vAlign w:val="center"/>
            <w:hideMark/>
          </w:tcPr>
          <w:p w14:paraId="3F223715"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21</w:t>
            </w:r>
          </w:p>
        </w:tc>
        <w:tc>
          <w:tcPr>
            <w:tcW w:w="1609" w:type="pct"/>
            <w:shd w:val="clear" w:color="auto" w:fill="auto"/>
            <w:noWrap/>
            <w:vAlign w:val="center"/>
            <w:hideMark/>
          </w:tcPr>
          <w:p w14:paraId="1EA80902" w14:textId="77777777" w:rsidR="004E7C4D" w:rsidRPr="00514A78" w:rsidRDefault="004E7C4D" w:rsidP="000E4250">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 xml:space="preserve">Tenosique, </w:t>
            </w:r>
            <w:proofErr w:type="spellStart"/>
            <w:r w:rsidRPr="00514A78">
              <w:rPr>
                <w:rFonts w:eastAsia="Times New Roman"/>
                <w:spacing w:val="-10"/>
                <w:kern w:val="0"/>
                <w:sz w:val="18"/>
                <w:szCs w:val="18"/>
                <w:lang w:eastAsia="es-MX"/>
                <w14:ligatures w14:val="none"/>
              </w:rPr>
              <w:t>Balancán</w:t>
            </w:r>
            <w:proofErr w:type="spellEnd"/>
          </w:p>
        </w:tc>
        <w:tc>
          <w:tcPr>
            <w:tcW w:w="561" w:type="pct"/>
            <w:shd w:val="clear" w:color="auto" w:fill="auto"/>
            <w:vAlign w:val="center"/>
            <w:hideMark/>
          </w:tcPr>
          <w:p w14:paraId="2F6E462D"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88,683</w:t>
            </w:r>
          </w:p>
        </w:tc>
        <w:tc>
          <w:tcPr>
            <w:tcW w:w="642" w:type="pct"/>
            <w:shd w:val="clear" w:color="auto" w:fill="auto"/>
            <w:vAlign w:val="center"/>
            <w:hideMark/>
          </w:tcPr>
          <w:p w14:paraId="34870BE2"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5.00%</w:t>
            </w:r>
          </w:p>
        </w:tc>
        <w:tc>
          <w:tcPr>
            <w:tcW w:w="723" w:type="pct"/>
            <w:shd w:val="clear" w:color="auto" w:fill="auto"/>
            <w:vAlign w:val="center"/>
            <w:hideMark/>
          </w:tcPr>
          <w:p w14:paraId="3BDFA748"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$365,488.20</w:t>
            </w:r>
          </w:p>
        </w:tc>
        <w:tc>
          <w:tcPr>
            <w:tcW w:w="403" w:type="pct"/>
            <w:vMerge/>
            <w:vAlign w:val="center"/>
            <w:hideMark/>
          </w:tcPr>
          <w:p w14:paraId="0E214841" w14:textId="77777777" w:rsidR="004E7C4D" w:rsidRPr="00514A78" w:rsidRDefault="004E7C4D" w:rsidP="000E4250">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2DDDA9F3" w14:textId="77777777" w:rsidR="004E7C4D" w:rsidRPr="00514A78" w:rsidRDefault="004E7C4D" w:rsidP="000E4250">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$73,097.64</w:t>
            </w:r>
          </w:p>
        </w:tc>
      </w:tr>
      <w:tr w:rsidR="00514A78" w:rsidRPr="00514A78" w14:paraId="2327A220" w14:textId="77777777" w:rsidTr="00593C32">
        <w:trPr>
          <w:trHeight w:val="315"/>
        </w:trPr>
        <w:tc>
          <w:tcPr>
            <w:tcW w:w="1844" w:type="pct"/>
            <w:gridSpan w:val="2"/>
            <w:shd w:val="clear" w:color="auto" w:fill="BFBFBF" w:themeFill="background1" w:themeFillShade="BF"/>
            <w:vAlign w:val="center"/>
            <w:hideMark/>
          </w:tcPr>
          <w:p w14:paraId="0322AEAD" w14:textId="49D9C435" w:rsidR="00F37855" w:rsidRPr="00514A78" w:rsidRDefault="00F37855" w:rsidP="00F37855">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 </w:t>
            </w:r>
            <w:r w:rsidRPr="00514A78">
              <w:rPr>
                <w:rFonts w:eastAsia="Times New Roman"/>
                <w:b/>
                <w:bCs/>
                <w:spacing w:val="-10"/>
                <w:kern w:val="0"/>
                <w:sz w:val="18"/>
                <w:szCs w:val="18"/>
                <w:lang w:eastAsia="es-MX"/>
                <w14:ligatures w14:val="none"/>
              </w:rPr>
              <w:t>Total</w:t>
            </w:r>
          </w:p>
        </w:tc>
        <w:tc>
          <w:tcPr>
            <w:tcW w:w="561" w:type="pct"/>
            <w:shd w:val="clear" w:color="auto" w:fill="BFBFBF" w:themeFill="background1" w:themeFillShade="BF"/>
            <w:vAlign w:val="center"/>
            <w:hideMark/>
          </w:tcPr>
          <w:p w14:paraId="6493D57F" w14:textId="77777777" w:rsidR="00F37855" w:rsidRPr="00514A78" w:rsidRDefault="00F37855" w:rsidP="000E4250">
            <w:pPr>
              <w:spacing w:before="20" w:after="20"/>
              <w:jc w:val="right"/>
              <w:rPr>
                <w:rFonts w:eastAsia="Times New Roman"/>
                <w:b/>
                <w:bCs/>
                <w:spacing w:val="-10"/>
                <w:kern w:val="0"/>
                <w:sz w:val="18"/>
                <w:szCs w:val="18"/>
                <w:lang w:eastAsia="es-MX"/>
                <w14:ligatures w14:val="none"/>
              </w:rPr>
            </w:pPr>
            <w:r w:rsidRPr="00514A78">
              <w:rPr>
                <w:rFonts w:eastAsia="Times New Roman"/>
                <w:b/>
                <w:bCs/>
                <w:spacing w:val="-10"/>
                <w:kern w:val="0"/>
                <w:sz w:val="18"/>
                <w:szCs w:val="18"/>
                <w:lang w:eastAsia="es-MX"/>
                <w14:ligatures w14:val="none"/>
              </w:rPr>
              <w:t>1,775,194</w:t>
            </w:r>
          </w:p>
        </w:tc>
        <w:tc>
          <w:tcPr>
            <w:tcW w:w="642" w:type="pct"/>
            <w:shd w:val="clear" w:color="auto" w:fill="BFBFBF" w:themeFill="background1" w:themeFillShade="BF"/>
            <w:vAlign w:val="center"/>
            <w:hideMark/>
          </w:tcPr>
          <w:p w14:paraId="16726141" w14:textId="77777777" w:rsidR="00F37855" w:rsidRPr="00514A78" w:rsidRDefault="00F37855" w:rsidP="000E4250">
            <w:pPr>
              <w:spacing w:before="20" w:after="20"/>
              <w:jc w:val="right"/>
              <w:rPr>
                <w:rFonts w:eastAsia="Times New Roman"/>
                <w:b/>
                <w:bCs/>
                <w:spacing w:val="-10"/>
                <w:kern w:val="0"/>
                <w:sz w:val="18"/>
                <w:szCs w:val="18"/>
                <w:lang w:eastAsia="es-MX"/>
                <w14:ligatures w14:val="none"/>
              </w:rPr>
            </w:pPr>
            <w:r w:rsidRPr="00514A78">
              <w:rPr>
                <w:rFonts w:eastAsia="Times New Roman"/>
                <w:b/>
                <w:bCs/>
                <w:spacing w:val="-10"/>
                <w:kern w:val="0"/>
                <w:sz w:val="18"/>
                <w:szCs w:val="18"/>
                <w:lang w:eastAsia="es-MX"/>
                <w14:ligatures w14:val="none"/>
              </w:rPr>
              <w:t>100%</w:t>
            </w:r>
          </w:p>
        </w:tc>
        <w:tc>
          <w:tcPr>
            <w:tcW w:w="723" w:type="pct"/>
            <w:shd w:val="clear" w:color="auto" w:fill="BFBFBF" w:themeFill="background1" w:themeFillShade="BF"/>
            <w:vAlign w:val="center"/>
            <w:hideMark/>
          </w:tcPr>
          <w:p w14:paraId="3D09A53F" w14:textId="77777777" w:rsidR="00F37855" w:rsidRPr="00514A78" w:rsidRDefault="00F37855" w:rsidP="000E4250">
            <w:pPr>
              <w:spacing w:before="20" w:after="20"/>
              <w:jc w:val="right"/>
              <w:rPr>
                <w:rFonts w:eastAsia="Times New Roman"/>
                <w:b/>
                <w:bCs/>
                <w:spacing w:val="-10"/>
                <w:kern w:val="0"/>
                <w:sz w:val="18"/>
                <w:szCs w:val="18"/>
                <w:lang w:eastAsia="es-MX"/>
                <w14:ligatures w14:val="none"/>
              </w:rPr>
            </w:pPr>
            <w:r w:rsidRPr="00514A78">
              <w:rPr>
                <w:rFonts w:eastAsia="Times New Roman"/>
                <w:b/>
                <w:bCs/>
                <w:spacing w:val="-10"/>
                <w:kern w:val="0"/>
                <w:sz w:val="18"/>
                <w:szCs w:val="18"/>
                <w:lang w:eastAsia="es-MX"/>
                <w14:ligatures w14:val="none"/>
              </w:rPr>
              <w:t>$7,316,085.98</w:t>
            </w:r>
          </w:p>
        </w:tc>
        <w:tc>
          <w:tcPr>
            <w:tcW w:w="403" w:type="pct"/>
            <w:shd w:val="clear" w:color="auto" w:fill="BFBFBF" w:themeFill="background1" w:themeFillShade="BF"/>
            <w:noWrap/>
            <w:vAlign w:val="center"/>
            <w:hideMark/>
          </w:tcPr>
          <w:p w14:paraId="3615494A" w14:textId="77777777" w:rsidR="00F37855" w:rsidRPr="00514A78" w:rsidRDefault="00F37855" w:rsidP="000E4250">
            <w:pPr>
              <w:spacing w:before="20" w:after="20"/>
              <w:jc w:val="center"/>
              <w:rPr>
                <w:rFonts w:eastAsia="Times New Roman"/>
                <w:b/>
                <w:bCs/>
                <w:spacing w:val="-10"/>
                <w:kern w:val="0"/>
                <w:sz w:val="18"/>
                <w:szCs w:val="18"/>
                <w:lang w:eastAsia="es-MX"/>
                <w14:ligatures w14:val="none"/>
              </w:rPr>
            </w:pPr>
            <w:r w:rsidRPr="00514A78">
              <w:rPr>
                <w:rFonts w:eastAsia="Times New Roman"/>
                <w:b/>
                <w:bCs/>
                <w:spacing w:val="-10"/>
                <w:kern w:val="0"/>
                <w:sz w:val="18"/>
                <w:szCs w:val="18"/>
                <w:lang w:eastAsia="es-MX"/>
                <w14:ligatures w14:val="none"/>
              </w:rPr>
              <w:t> </w:t>
            </w:r>
          </w:p>
        </w:tc>
        <w:tc>
          <w:tcPr>
            <w:tcW w:w="826" w:type="pct"/>
            <w:shd w:val="clear" w:color="auto" w:fill="BFBFBF" w:themeFill="background1" w:themeFillShade="BF"/>
            <w:vAlign w:val="center"/>
            <w:hideMark/>
          </w:tcPr>
          <w:p w14:paraId="69A968D5" w14:textId="77777777" w:rsidR="00F37855" w:rsidRPr="00514A78" w:rsidRDefault="00F37855" w:rsidP="000E4250">
            <w:pPr>
              <w:spacing w:before="20" w:after="20"/>
              <w:jc w:val="right"/>
              <w:rPr>
                <w:rFonts w:eastAsia="Times New Roman"/>
                <w:b/>
                <w:bCs/>
                <w:spacing w:val="-10"/>
                <w:kern w:val="0"/>
                <w:sz w:val="18"/>
                <w:szCs w:val="18"/>
                <w:lang w:eastAsia="es-MX"/>
                <w14:ligatures w14:val="none"/>
              </w:rPr>
            </w:pPr>
            <w:r w:rsidRPr="00514A78">
              <w:rPr>
                <w:rFonts w:eastAsia="Times New Roman"/>
                <w:b/>
                <w:bCs/>
                <w:spacing w:val="-10"/>
                <w:kern w:val="0"/>
                <w:sz w:val="18"/>
                <w:szCs w:val="18"/>
                <w:lang w:eastAsia="es-MX"/>
                <w14:ligatures w14:val="none"/>
              </w:rPr>
              <w:t>$1,463,217.20</w:t>
            </w:r>
          </w:p>
        </w:tc>
      </w:tr>
    </w:tbl>
    <w:p w14:paraId="099A2645" w14:textId="77777777" w:rsidR="004E7C4D" w:rsidRPr="00514A78" w:rsidRDefault="004E7C4D" w:rsidP="009A0F9B">
      <w:pPr>
        <w:pStyle w:val="Ttulo3"/>
      </w:pPr>
      <w:r w:rsidRPr="00514A78">
        <w:t>Tope de gastos de precampaña para la elección a las Presidencias Municipales y Regidurías</w:t>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97"/>
        <w:gridCol w:w="1701"/>
        <w:gridCol w:w="3730"/>
      </w:tblGrid>
      <w:tr w:rsidR="00514A78" w:rsidRPr="00514A78" w14:paraId="450EB021" w14:textId="77777777" w:rsidTr="000F1F26">
        <w:tc>
          <w:tcPr>
            <w:tcW w:w="3397" w:type="dxa"/>
            <w:shd w:val="clear" w:color="auto" w:fill="993366"/>
            <w:vAlign w:val="center"/>
          </w:tcPr>
          <w:p w14:paraId="79BAD95D" w14:textId="43EEA84A" w:rsidR="004E7C4D" w:rsidRPr="00DE3330" w:rsidRDefault="004E7C4D" w:rsidP="004E7C4D">
            <w:pPr>
              <w:spacing w:before="0" w:after="0"/>
              <w:jc w:val="center"/>
              <w:rPr>
                <w:b/>
                <w:bCs/>
                <w:color w:val="FFFFFF" w:themeColor="background1"/>
                <w:sz w:val="14"/>
                <w:szCs w:val="14"/>
              </w:rPr>
            </w:pPr>
            <w:r w:rsidRPr="00DE3330">
              <w:rPr>
                <w:b/>
                <w:bCs/>
                <w:color w:val="FFFFFF" w:themeColor="background1"/>
                <w:sz w:val="14"/>
                <w:szCs w:val="14"/>
              </w:rPr>
              <w:t xml:space="preserve">Tope de gastos de campaña para la elección de </w:t>
            </w:r>
            <w:r w:rsidR="004B3400">
              <w:rPr>
                <w:b/>
                <w:bCs/>
                <w:color w:val="FFFFFF" w:themeColor="background1"/>
                <w:sz w:val="14"/>
                <w:szCs w:val="14"/>
              </w:rPr>
              <w:t>Presidencias Municipales</w:t>
            </w:r>
            <w:r w:rsidRPr="00DE3330">
              <w:rPr>
                <w:b/>
                <w:bCs/>
                <w:color w:val="FFFFFF" w:themeColor="background1"/>
                <w:sz w:val="14"/>
                <w:szCs w:val="14"/>
              </w:rPr>
              <w:t xml:space="preserve"> en el Proceso Electoral Local Ordinario 2020 – 2021 (CE/2021/023)</w:t>
            </w:r>
          </w:p>
        </w:tc>
        <w:tc>
          <w:tcPr>
            <w:tcW w:w="1701" w:type="dxa"/>
            <w:shd w:val="clear" w:color="auto" w:fill="993366"/>
            <w:vAlign w:val="center"/>
          </w:tcPr>
          <w:p w14:paraId="1031BCC0" w14:textId="77777777" w:rsidR="004E7C4D" w:rsidRPr="00DE3330" w:rsidRDefault="004E7C4D" w:rsidP="004E7C4D">
            <w:pPr>
              <w:spacing w:before="0" w:after="0"/>
              <w:jc w:val="center"/>
              <w:rPr>
                <w:b/>
                <w:bCs/>
                <w:color w:val="FFFFFF" w:themeColor="background1"/>
                <w:sz w:val="14"/>
                <w:szCs w:val="14"/>
              </w:rPr>
            </w:pPr>
            <w:r w:rsidRPr="00DE3330">
              <w:rPr>
                <w:b/>
                <w:bCs/>
                <w:color w:val="FFFFFF" w:themeColor="background1"/>
                <w:sz w:val="14"/>
                <w:szCs w:val="14"/>
              </w:rPr>
              <w:t>Porcentaje</w:t>
            </w:r>
          </w:p>
        </w:tc>
        <w:tc>
          <w:tcPr>
            <w:tcW w:w="3730" w:type="dxa"/>
            <w:shd w:val="clear" w:color="auto" w:fill="993366"/>
            <w:vAlign w:val="center"/>
          </w:tcPr>
          <w:p w14:paraId="52DB606A" w14:textId="587DD926" w:rsidR="004E7C4D" w:rsidRPr="00DE3330" w:rsidRDefault="000F1F26" w:rsidP="004E7C4D">
            <w:pPr>
              <w:spacing w:before="0" w:after="0"/>
              <w:jc w:val="center"/>
              <w:rPr>
                <w:b/>
                <w:bCs/>
                <w:color w:val="FFFFFF" w:themeColor="background1"/>
                <w:sz w:val="14"/>
                <w:szCs w:val="14"/>
              </w:rPr>
            </w:pPr>
            <w:r w:rsidRPr="00DE3330">
              <w:rPr>
                <w:b/>
                <w:bCs/>
                <w:color w:val="FFFFFF" w:themeColor="background1"/>
                <w:sz w:val="14"/>
                <w:szCs w:val="14"/>
              </w:rPr>
              <w:t xml:space="preserve">Límite o tope máximo de gastos de precampaña para la elección a </w:t>
            </w:r>
            <w:r w:rsidR="00C50CF8" w:rsidRPr="00DE3330">
              <w:rPr>
                <w:b/>
                <w:bCs/>
                <w:color w:val="FFFFFF" w:themeColor="background1"/>
                <w:sz w:val="14"/>
                <w:szCs w:val="14"/>
              </w:rPr>
              <w:t>Presidencias Municipales y Regidurías</w:t>
            </w:r>
            <w:r w:rsidRPr="00DE3330">
              <w:rPr>
                <w:b/>
                <w:bCs/>
                <w:color w:val="FFFFFF" w:themeColor="background1"/>
                <w:sz w:val="14"/>
                <w:szCs w:val="14"/>
              </w:rPr>
              <w:t xml:space="preserve"> con motivo del Proceso Electoral 2023 - 2024</w:t>
            </w:r>
          </w:p>
        </w:tc>
      </w:tr>
      <w:tr w:rsidR="00514A78" w:rsidRPr="00514A78" w14:paraId="47A7DBC6" w14:textId="77777777" w:rsidTr="000C16AD">
        <w:tc>
          <w:tcPr>
            <w:tcW w:w="3397" w:type="dxa"/>
            <w:shd w:val="clear" w:color="auto" w:fill="BFBFBF" w:themeFill="background1" w:themeFillShade="BF"/>
            <w:vAlign w:val="center"/>
          </w:tcPr>
          <w:p w14:paraId="5F87B1DC" w14:textId="77777777" w:rsidR="004E7C4D" w:rsidRPr="00514A78" w:rsidRDefault="004E7C4D" w:rsidP="000F1F26">
            <w:pPr>
              <w:spacing w:before="20" w:after="20"/>
              <w:jc w:val="center"/>
              <w:rPr>
                <w:sz w:val="14"/>
                <w:szCs w:val="14"/>
              </w:rPr>
            </w:pPr>
            <w:r w:rsidRPr="00514A78">
              <w:rPr>
                <w:sz w:val="14"/>
                <w:szCs w:val="14"/>
              </w:rPr>
              <w:t>A</w:t>
            </w:r>
          </w:p>
        </w:tc>
        <w:tc>
          <w:tcPr>
            <w:tcW w:w="1701" w:type="dxa"/>
            <w:shd w:val="clear" w:color="auto" w:fill="BFBFBF" w:themeFill="background1" w:themeFillShade="BF"/>
            <w:vAlign w:val="center"/>
          </w:tcPr>
          <w:p w14:paraId="73BF36E3" w14:textId="77777777" w:rsidR="004E7C4D" w:rsidRPr="00514A78" w:rsidRDefault="004E7C4D" w:rsidP="000F1F26">
            <w:pPr>
              <w:spacing w:before="20" w:after="20"/>
              <w:jc w:val="center"/>
              <w:rPr>
                <w:sz w:val="14"/>
                <w:szCs w:val="14"/>
              </w:rPr>
            </w:pPr>
            <w:r w:rsidRPr="00514A78">
              <w:rPr>
                <w:sz w:val="14"/>
                <w:szCs w:val="14"/>
              </w:rPr>
              <w:t>B</w:t>
            </w:r>
          </w:p>
        </w:tc>
        <w:tc>
          <w:tcPr>
            <w:tcW w:w="3730" w:type="dxa"/>
            <w:shd w:val="clear" w:color="auto" w:fill="BFBFBF" w:themeFill="background1" w:themeFillShade="BF"/>
            <w:vAlign w:val="center"/>
          </w:tcPr>
          <w:p w14:paraId="09A986DF" w14:textId="77777777" w:rsidR="004E7C4D" w:rsidRPr="00514A78" w:rsidRDefault="004E7C4D" w:rsidP="000F1F26">
            <w:pPr>
              <w:spacing w:before="20" w:after="20"/>
              <w:jc w:val="center"/>
              <w:rPr>
                <w:sz w:val="14"/>
                <w:szCs w:val="14"/>
              </w:rPr>
            </w:pPr>
            <w:r w:rsidRPr="00514A78">
              <w:rPr>
                <w:sz w:val="14"/>
                <w:szCs w:val="14"/>
              </w:rPr>
              <w:t>C = A × B</w:t>
            </w:r>
          </w:p>
        </w:tc>
      </w:tr>
      <w:tr w:rsidR="00514A78" w:rsidRPr="00514A78" w14:paraId="71E42B05" w14:textId="77777777" w:rsidTr="000F1F26">
        <w:tc>
          <w:tcPr>
            <w:tcW w:w="3397" w:type="dxa"/>
            <w:vAlign w:val="center"/>
          </w:tcPr>
          <w:p w14:paraId="0DA70EB4" w14:textId="77777777" w:rsidR="004E7C4D" w:rsidRPr="00514A78" w:rsidRDefault="004E7C4D" w:rsidP="000F1F26">
            <w:pPr>
              <w:spacing w:before="120" w:after="120"/>
              <w:jc w:val="center"/>
              <w:rPr>
                <w:b/>
                <w:bCs/>
              </w:rPr>
            </w:pPr>
            <w:r w:rsidRPr="00514A78">
              <w:rPr>
                <w:b/>
                <w:bCs/>
              </w:rPr>
              <w:t>$7’316,085.98</w:t>
            </w:r>
          </w:p>
        </w:tc>
        <w:tc>
          <w:tcPr>
            <w:tcW w:w="1701" w:type="dxa"/>
            <w:vAlign w:val="center"/>
          </w:tcPr>
          <w:p w14:paraId="5CEBC5B6" w14:textId="77777777" w:rsidR="004E7C4D" w:rsidRPr="00514A78" w:rsidRDefault="004E7C4D" w:rsidP="000F1F26">
            <w:pPr>
              <w:spacing w:before="120" w:after="120"/>
              <w:jc w:val="center"/>
              <w:rPr>
                <w:b/>
                <w:bCs/>
              </w:rPr>
            </w:pPr>
            <w:r w:rsidRPr="00514A78">
              <w:rPr>
                <w:b/>
                <w:bCs/>
              </w:rPr>
              <w:t>20%</w:t>
            </w:r>
          </w:p>
        </w:tc>
        <w:tc>
          <w:tcPr>
            <w:tcW w:w="3730" w:type="dxa"/>
            <w:vAlign w:val="center"/>
          </w:tcPr>
          <w:p w14:paraId="5C0CCB68" w14:textId="77777777" w:rsidR="004E7C4D" w:rsidRPr="00514A78" w:rsidRDefault="004E7C4D" w:rsidP="000F1F26">
            <w:pPr>
              <w:spacing w:before="120" w:after="120"/>
              <w:jc w:val="center"/>
              <w:rPr>
                <w:b/>
                <w:bCs/>
              </w:rPr>
            </w:pPr>
            <w:r w:rsidRPr="00514A78">
              <w:rPr>
                <w:b/>
                <w:bCs/>
              </w:rPr>
              <w:t>$1’463,217.19</w:t>
            </w:r>
          </w:p>
        </w:tc>
      </w:tr>
    </w:tbl>
    <w:p w14:paraId="595361A4" w14:textId="77777777" w:rsidR="004E7C4D" w:rsidRPr="00514A78" w:rsidRDefault="004E7C4D" w:rsidP="007E0C68">
      <w:pPr>
        <w:spacing w:before="360"/>
        <w:rPr>
          <w:rFonts w:eastAsia="Arial Unicode MS"/>
        </w:rPr>
      </w:pPr>
      <w:r w:rsidRPr="00514A78">
        <w:rPr>
          <w:rFonts w:eastAsia="Arial Unicode MS"/>
        </w:rPr>
        <w:t>Monto que, para cada municipio de forma individualizada y de acuerdo con el tope de gastos de campaña para la elección inmediata anterior, se distribuye de la siguiente forma:</w:t>
      </w:r>
    </w:p>
    <w:tbl>
      <w:tblPr>
        <w:tblW w:w="4094"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984"/>
        <w:gridCol w:w="1559"/>
        <w:gridCol w:w="1560"/>
        <w:gridCol w:w="2125"/>
      </w:tblGrid>
      <w:tr w:rsidR="00514A78" w:rsidRPr="00514A78" w14:paraId="738240E0" w14:textId="77777777" w:rsidTr="00DE3330">
        <w:trPr>
          <w:trHeight w:val="997"/>
          <w:tblHeader/>
          <w:jc w:val="center"/>
        </w:trPr>
        <w:tc>
          <w:tcPr>
            <w:tcW w:w="1372" w:type="pct"/>
            <w:shd w:val="clear" w:color="auto" w:fill="993366"/>
            <w:vAlign w:val="center"/>
            <w:hideMark/>
          </w:tcPr>
          <w:p w14:paraId="6ED5B01C" w14:textId="77777777" w:rsidR="004E7C4D" w:rsidRPr="00DE3330" w:rsidRDefault="004E7C4D" w:rsidP="000C16AD">
            <w:pPr>
              <w:spacing w:before="0" w:after="0" w:line="276" w:lineRule="auto"/>
              <w:jc w:val="center"/>
              <w:rPr>
                <w:rFonts w:eastAsia="Times New Roman"/>
                <w:b/>
                <w:bCs/>
                <w:color w:val="FFFFFF" w:themeColor="background1"/>
                <w:kern w:val="0"/>
                <w:sz w:val="14"/>
                <w:szCs w:val="14"/>
                <w:lang w:eastAsia="es-MX"/>
                <w14:ligatures w14:val="none"/>
              </w:rPr>
            </w:pPr>
            <w:r w:rsidRPr="00DE3330">
              <w:rPr>
                <w:rFonts w:eastAsia="Times New Roman"/>
                <w:b/>
                <w:bCs/>
                <w:color w:val="FFFFFF" w:themeColor="background1"/>
                <w:kern w:val="0"/>
                <w:sz w:val="14"/>
                <w:szCs w:val="14"/>
                <w:lang w:eastAsia="es-MX"/>
                <w14:ligatures w14:val="none"/>
              </w:rPr>
              <w:t>Municipio</w:t>
            </w:r>
          </w:p>
        </w:tc>
        <w:tc>
          <w:tcPr>
            <w:tcW w:w="1078" w:type="pct"/>
            <w:shd w:val="clear" w:color="auto" w:fill="993366"/>
            <w:vAlign w:val="center"/>
            <w:hideMark/>
          </w:tcPr>
          <w:p w14:paraId="2D3F1FB2" w14:textId="77777777" w:rsidR="004E7C4D" w:rsidRPr="00DE3330" w:rsidRDefault="004E7C4D" w:rsidP="000C16AD">
            <w:pPr>
              <w:spacing w:before="0" w:after="0" w:line="276" w:lineRule="auto"/>
              <w:jc w:val="center"/>
              <w:rPr>
                <w:rFonts w:eastAsia="Times New Roman"/>
                <w:b/>
                <w:bCs/>
                <w:color w:val="FFFFFF" w:themeColor="background1"/>
                <w:kern w:val="0"/>
                <w:sz w:val="14"/>
                <w:szCs w:val="14"/>
                <w:lang w:eastAsia="es-MX"/>
                <w14:ligatures w14:val="none"/>
              </w:rPr>
            </w:pPr>
            <w:r w:rsidRPr="00DE3330">
              <w:rPr>
                <w:rFonts w:eastAsia="Times New Roman"/>
                <w:b/>
                <w:bCs/>
                <w:color w:val="FFFFFF" w:themeColor="background1"/>
                <w:kern w:val="0"/>
                <w:sz w:val="14"/>
                <w:szCs w:val="14"/>
                <w:lang w:eastAsia="es-MX"/>
                <w14:ligatures w14:val="none"/>
              </w:rPr>
              <w:t>Tope de Gastos de Campaña de la elección 2021-2022</w:t>
            </w:r>
          </w:p>
          <w:p w14:paraId="16D212B8" w14:textId="111D547E" w:rsidR="004E7C4D" w:rsidRPr="00DE3330" w:rsidRDefault="004E7C4D" w:rsidP="000C16AD">
            <w:pPr>
              <w:spacing w:before="0" w:after="0" w:line="276" w:lineRule="auto"/>
              <w:jc w:val="center"/>
              <w:rPr>
                <w:rFonts w:eastAsia="Times New Roman"/>
                <w:b/>
                <w:bCs/>
                <w:color w:val="FFFFFF" w:themeColor="background1"/>
                <w:kern w:val="0"/>
                <w:sz w:val="14"/>
                <w:szCs w:val="14"/>
                <w:lang w:eastAsia="es-MX"/>
                <w14:ligatures w14:val="none"/>
              </w:rPr>
            </w:pPr>
            <w:r w:rsidRPr="00DE3330">
              <w:rPr>
                <w:rFonts w:eastAsia="Times New Roman"/>
                <w:b/>
                <w:bCs/>
                <w:color w:val="FFFFFF" w:themeColor="background1"/>
                <w:kern w:val="0"/>
                <w:sz w:val="14"/>
                <w:szCs w:val="14"/>
                <w:lang w:eastAsia="es-MX"/>
                <w14:ligatures w14:val="none"/>
              </w:rPr>
              <w:t xml:space="preserve"> (CE/2021/23)</w:t>
            </w:r>
          </w:p>
        </w:tc>
        <w:tc>
          <w:tcPr>
            <w:tcW w:w="1079" w:type="pct"/>
            <w:shd w:val="clear" w:color="auto" w:fill="993366"/>
            <w:vAlign w:val="center"/>
            <w:hideMark/>
          </w:tcPr>
          <w:p w14:paraId="1424C9BB" w14:textId="52BBECB9" w:rsidR="004E7C4D" w:rsidRPr="00DE3330" w:rsidRDefault="004E7C4D" w:rsidP="000C16AD">
            <w:pPr>
              <w:spacing w:before="0" w:after="0" w:line="276" w:lineRule="auto"/>
              <w:jc w:val="center"/>
              <w:rPr>
                <w:rFonts w:eastAsia="Times New Roman"/>
                <w:b/>
                <w:bCs/>
                <w:color w:val="FFFFFF" w:themeColor="background1"/>
                <w:kern w:val="0"/>
                <w:sz w:val="14"/>
                <w:szCs w:val="14"/>
                <w:lang w:eastAsia="es-MX"/>
                <w14:ligatures w14:val="none"/>
              </w:rPr>
            </w:pPr>
            <w:r w:rsidRPr="00DE3330">
              <w:rPr>
                <w:rFonts w:eastAsia="Times New Roman"/>
                <w:b/>
                <w:bCs/>
                <w:color w:val="FFFFFF" w:themeColor="background1"/>
                <w:kern w:val="0"/>
                <w:sz w:val="14"/>
                <w:szCs w:val="14"/>
                <w:lang w:eastAsia="es-MX"/>
                <w14:ligatures w14:val="none"/>
              </w:rPr>
              <w:t>Porcentaje</w:t>
            </w:r>
          </w:p>
        </w:tc>
        <w:tc>
          <w:tcPr>
            <w:tcW w:w="1470" w:type="pct"/>
            <w:shd w:val="clear" w:color="auto" w:fill="993366"/>
            <w:vAlign w:val="center"/>
            <w:hideMark/>
          </w:tcPr>
          <w:p w14:paraId="625BB6D7" w14:textId="5AFD7936" w:rsidR="004E7C4D" w:rsidRPr="00DE3330" w:rsidRDefault="00C50CF8" w:rsidP="000C16AD">
            <w:pPr>
              <w:spacing w:before="0" w:after="0" w:line="276" w:lineRule="auto"/>
              <w:jc w:val="center"/>
              <w:rPr>
                <w:rFonts w:eastAsia="Times New Roman"/>
                <w:b/>
                <w:bCs/>
                <w:color w:val="FFFFFF" w:themeColor="background1"/>
                <w:kern w:val="0"/>
                <w:sz w:val="14"/>
                <w:szCs w:val="14"/>
                <w:lang w:eastAsia="es-MX"/>
                <w14:ligatures w14:val="none"/>
              </w:rPr>
            </w:pPr>
            <w:r w:rsidRPr="00DE3330">
              <w:rPr>
                <w:rFonts w:eastAsia="Times New Roman"/>
                <w:b/>
                <w:bCs/>
                <w:color w:val="FFFFFF" w:themeColor="background1"/>
                <w:kern w:val="0"/>
                <w:sz w:val="14"/>
                <w:szCs w:val="14"/>
                <w:lang w:eastAsia="es-MX"/>
                <w14:ligatures w14:val="none"/>
              </w:rPr>
              <w:t>Límite o tope máximo de gastos de precampaña para la elección a Presidencias Municipales y Regidurías con motivo del Proceso Electoral 2023 - 2024</w:t>
            </w:r>
          </w:p>
        </w:tc>
      </w:tr>
      <w:tr w:rsidR="00514A78" w:rsidRPr="00514A78" w14:paraId="5AE0E0A4" w14:textId="77777777" w:rsidTr="00592342">
        <w:trPr>
          <w:trHeight w:val="300"/>
          <w:jc w:val="center"/>
        </w:trPr>
        <w:tc>
          <w:tcPr>
            <w:tcW w:w="1372" w:type="pct"/>
            <w:shd w:val="clear" w:color="auto" w:fill="auto"/>
            <w:noWrap/>
            <w:vAlign w:val="center"/>
            <w:hideMark/>
          </w:tcPr>
          <w:p w14:paraId="66FFCB5B"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roofErr w:type="spellStart"/>
            <w:r w:rsidRPr="00514A78">
              <w:rPr>
                <w:rFonts w:eastAsia="Times New Roman"/>
                <w:kern w:val="0"/>
                <w:sz w:val="18"/>
                <w:szCs w:val="18"/>
                <w:lang w:eastAsia="es-MX"/>
                <w14:ligatures w14:val="none"/>
              </w:rPr>
              <w:t>Balancán</w:t>
            </w:r>
            <w:proofErr w:type="spellEnd"/>
          </w:p>
        </w:tc>
        <w:tc>
          <w:tcPr>
            <w:tcW w:w="1078" w:type="pct"/>
            <w:shd w:val="clear" w:color="auto" w:fill="auto"/>
            <w:noWrap/>
            <w:vAlign w:val="center"/>
            <w:hideMark/>
          </w:tcPr>
          <w:p w14:paraId="7E29572B" w14:textId="68AABEBC"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175,694.65 </w:t>
            </w:r>
          </w:p>
        </w:tc>
        <w:tc>
          <w:tcPr>
            <w:tcW w:w="1079" w:type="pct"/>
            <w:vMerge w:val="restart"/>
            <w:shd w:val="clear" w:color="auto" w:fill="auto"/>
            <w:noWrap/>
            <w:vAlign w:val="center"/>
            <w:hideMark/>
          </w:tcPr>
          <w:p w14:paraId="13020928" w14:textId="77777777" w:rsidR="004E7C4D" w:rsidRPr="00514A78" w:rsidRDefault="004E7C4D" w:rsidP="00C50CF8">
            <w:pPr>
              <w:spacing w:beforeLines="20" w:before="48" w:afterLines="20" w:after="48"/>
              <w:jc w:val="center"/>
              <w:rPr>
                <w:rFonts w:eastAsia="Times New Roman"/>
                <w:kern w:val="0"/>
                <w:sz w:val="18"/>
                <w:szCs w:val="18"/>
                <w:lang w:eastAsia="es-MX"/>
                <w14:ligatures w14:val="none"/>
              </w:rPr>
            </w:pPr>
            <w:r w:rsidRPr="00514A78">
              <w:rPr>
                <w:rFonts w:eastAsia="Times New Roman"/>
                <w:kern w:val="0"/>
                <w:sz w:val="18"/>
                <w:szCs w:val="18"/>
                <w:lang w:eastAsia="es-MX"/>
                <w14:ligatures w14:val="none"/>
              </w:rPr>
              <w:t>20%</w:t>
            </w:r>
          </w:p>
        </w:tc>
        <w:tc>
          <w:tcPr>
            <w:tcW w:w="1470" w:type="pct"/>
            <w:shd w:val="clear" w:color="auto" w:fill="auto"/>
            <w:noWrap/>
            <w:vAlign w:val="center"/>
            <w:hideMark/>
          </w:tcPr>
          <w:p w14:paraId="5025F2CF" w14:textId="781EDC11"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35,138.93 </w:t>
            </w:r>
          </w:p>
        </w:tc>
      </w:tr>
      <w:tr w:rsidR="00514A78" w:rsidRPr="00514A78" w14:paraId="59C59F47" w14:textId="77777777" w:rsidTr="00592342">
        <w:trPr>
          <w:trHeight w:val="300"/>
          <w:jc w:val="center"/>
        </w:trPr>
        <w:tc>
          <w:tcPr>
            <w:tcW w:w="1372" w:type="pct"/>
            <w:shd w:val="clear" w:color="auto" w:fill="auto"/>
            <w:noWrap/>
            <w:vAlign w:val="center"/>
            <w:hideMark/>
          </w:tcPr>
          <w:p w14:paraId="0016CD92"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Cárdenas</w:t>
            </w:r>
          </w:p>
        </w:tc>
        <w:tc>
          <w:tcPr>
            <w:tcW w:w="1078" w:type="pct"/>
            <w:shd w:val="clear" w:color="auto" w:fill="auto"/>
            <w:noWrap/>
            <w:vAlign w:val="center"/>
            <w:hideMark/>
          </w:tcPr>
          <w:p w14:paraId="05D9134A" w14:textId="0F0A02B1"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745,486.37 </w:t>
            </w:r>
          </w:p>
        </w:tc>
        <w:tc>
          <w:tcPr>
            <w:tcW w:w="1079" w:type="pct"/>
            <w:vMerge/>
            <w:vAlign w:val="center"/>
            <w:hideMark/>
          </w:tcPr>
          <w:p w14:paraId="73C5A8AA"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00E484C1" w14:textId="78EE2D0D"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149,097.27 </w:t>
            </w:r>
          </w:p>
        </w:tc>
      </w:tr>
      <w:tr w:rsidR="00514A78" w:rsidRPr="00514A78" w14:paraId="503A1018" w14:textId="77777777" w:rsidTr="00592342">
        <w:trPr>
          <w:trHeight w:val="300"/>
          <w:jc w:val="center"/>
        </w:trPr>
        <w:tc>
          <w:tcPr>
            <w:tcW w:w="1372" w:type="pct"/>
            <w:shd w:val="clear" w:color="auto" w:fill="auto"/>
            <w:noWrap/>
            <w:vAlign w:val="center"/>
            <w:hideMark/>
          </w:tcPr>
          <w:p w14:paraId="0D7C455B"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Centla</w:t>
            </w:r>
          </w:p>
        </w:tc>
        <w:tc>
          <w:tcPr>
            <w:tcW w:w="1078" w:type="pct"/>
            <w:shd w:val="clear" w:color="auto" w:fill="auto"/>
            <w:noWrap/>
            <w:vAlign w:val="center"/>
            <w:hideMark/>
          </w:tcPr>
          <w:p w14:paraId="737D7BD6" w14:textId="7AD42F5C"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314,407.96 </w:t>
            </w:r>
          </w:p>
        </w:tc>
        <w:tc>
          <w:tcPr>
            <w:tcW w:w="1079" w:type="pct"/>
            <w:vMerge/>
            <w:vAlign w:val="center"/>
            <w:hideMark/>
          </w:tcPr>
          <w:p w14:paraId="3004C165"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417C14E3" w14:textId="047138AC" w:rsidR="004E7C4D" w:rsidRPr="00514A78" w:rsidRDefault="004E7C4D" w:rsidP="00C50CF8">
            <w:pPr>
              <w:spacing w:beforeLines="20" w:before="48" w:afterLines="20" w:after="48"/>
              <w:ind w:left="708" w:hanging="70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62,881.59 </w:t>
            </w:r>
          </w:p>
        </w:tc>
      </w:tr>
      <w:tr w:rsidR="00514A78" w:rsidRPr="00514A78" w14:paraId="3A517CF3" w14:textId="77777777" w:rsidTr="00592342">
        <w:trPr>
          <w:trHeight w:val="300"/>
          <w:jc w:val="center"/>
        </w:trPr>
        <w:tc>
          <w:tcPr>
            <w:tcW w:w="1372" w:type="pct"/>
            <w:shd w:val="clear" w:color="auto" w:fill="auto"/>
            <w:noWrap/>
            <w:vAlign w:val="center"/>
            <w:hideMark/>
          </w:tcPr>
          <w:p w14:paraId="5E885B6F"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Centro</w:t>
            </w:r>
          </w:p>
        </w:tc>
        <w:tc>
          <w:tcPr>
            <w:tcW w:w="1078" w:type="pct"/>
            <w:shd w:val="clear" w:color="auto" w:fill="auto"/>
            <w:noWrap/>
            <w:vAlign w:val="center"/>
            <w:hideMark/>
          </w:tcPr>
          <w:p w14:paraId="30288EB0" w14:textId="190375B7" w:rsidR="004E7C4D" w:rsidRPr="00514A78" w:rsidRDefault="00C50CF8"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w:t>
            </w:r>
            <w:r w:rsidR="004E7C4D" w:rsidRPr="00514A78">
              <w:rPr>
                <w:rFonts w:eastAsia="Times New Roman"/>
                <w:kern w:val="0"/>
                <w:sz w:val="18"/>
                <w:szCs w:val="18"/>
                <w:lang w:eastAsia="es-MX"/>
                <w14:ligatures w14:val="none"/>
              </w:rPr>
              <w:t>2</w:t>
            </w:r>
            <w:r w:rsidRPr="00514A78">
              <w:rPr>
                <w:rFonts w:eastAsia="Times New Roman"/>
                <w:kern w:val="0"/>
                <w:sz w:val="18"/>
                <w:szCs w:val="18"/>
                <w:lang w:eastAsia="es-MX"/>
                <w14:ligatures w14:val="none"/>
              </w:rPr>
              <w:t>’</w:t>
            </w:r>
            <w:r w:rsidR="004E7C4D" w:rsidRPr="00514A78">
              <w:rPr>
                <w:rFonts w:eastAsia="Times New Roman"/>
                <w:kern w:val="0"/>
                <w:sz w:val="18"/>
                <w:szCs w:val="18"/>
                <w:lang w:eastAsia="es-MX"/>
                <w14:ligatures w14:val="none"/>
              </w:rPr>
              <w:t xml:space="preserve">166,806.25 </w:t>
            </w:r>
          </w:p>
        </w:tc>
        <w:tc>
          <w:tcPr>
            <w:tcW w:w="1079" w:type="pct"/>
            <w:vMerge/>
            <w:vAlign w:val="center"/>
            <w:hideMark/>
          </w:tcPr>
          <w:p w14:paraId="1EF6B5DB"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79AB43B5" w14:textId="0151E0E5" w:rsidR="004E7C4D" w:rsidRPr="00514A78" w:rsidRDefault="00C50CF8"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w:t>
            </w:r>
            <w:r w:rsidR="004E7C4D" w:rsidRPr="00514A78">
              <w:rPr>
                <w:rFonts w:eastAsia="Times New Roman"/>
                <w:kern w:val="0"/>
                <w:sz w:val="18"/>
                <w:szCs w:val="18"/>
                <w:lang w:eastAsia="es-MX"/>
                <w14:ligatures w14:val="none"/>
              </w:rPr>
              <w:t xml:space="preserve">433,361.25 </w:t>
            </w:r>
          </w:p>
        </w:tc>
      </w:tr>
      <w:tr w:rsidR="00514A78" w:rsidRPr="00514A78" w14:paraId="643EC1B4" w14:textId="77777777" w:rsidTr="00592342">
        <w:trPr>
          <w:trHeight w:val="300"/>
          <w:jc w:val="center"/>
        </w:trPr>
        <w:tc>
          <w:tcPr>
            <w:tcW w:w="1372" w:type="pct"/>
            <w:shd w:val="clear" w:color="auto" w:fill="auto"/>
            <w:noWrap/>
            <w:vAlign w:val="center"/>
            <w:hideMark/>
          </w:tcPr>
          <w:p w14:paraId="63335C67"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Comalcalco</w:t>
            </w:r>
          </w:p>
        </w:tc>
        <w:tc>
          <w:tcPr>
            <w:tcW w:w="1078" w:type="pct"/>
            <w:shd w:val="clear" w:color="auto" w:fill="auto"/>
            <w:noWrap/>
            <w:vAlign w:val="center"/>
            <w:hideMark/>
          </w:tcPr>
          <w:p w14:paraId="446CCB5C" w14:textId="6D451CD5"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649,764.14 </w:t>
            </w:r>
          </w:p>
        </w:tc>
        <w:tc>
          <w:tcPr>
            <w:tcW w:w="1079" w:type="pct"/>
            <w:vMerge/>
            <w:vAlign w:val="center"/>
            <w:hideMark/>
          </w:tcPr>
          <w:p w14:paraId="1CC27080"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6A629D70" w14:textId="11A9C3BA"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129,952.83 </w:t>
            </w:r>
          </w:p>
        </w:tc>
      </w:tr>
      <w:tr w:rsidR="00514A78" w:rsidRPr="00514A78" w14:paraId="4457414B" w14:textId="77777777" w:rsidTr="00592342">
        <w:trPr>
          <w:trHeight w:val="300"/>
          <w:jc w:val="center"/>
        </w:trPr>
        <w:tc>
          <w:tcPr>
            <w:tcW w:w="1372" w:type="pct"/>
            <w:shd w:val="clear" w:color="auto" w:fill="auto"/>
            <w:noWrap/>
            <w:vAlign w:val="center"/>
            <w:hideMark/>
          </w:tcPr>
          <w:p w14:paraId="569A056F"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Cunduacán</w:t>
            </w:r>
          </w:p>
        </w:tc>
        <w:tc>
          <w:tcPr>
            <w:tcW w:w="1078" w:type="pct"/>
            <w:shd w:val="clear" w:color="auto" w:fill="auto"/>
            <w:noWrap/>
            <w:vAlign w:val="center"/>
            <w:hideMark/>
          </w:tcPr>
          <w:p w14:paraId="6DCF5481" w14:textId="57CFFD1F"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401,076.94 </w:t>
            </w:r>
          </w:p>
        </w:tc>
        <w:tc>
          <w:tcPr>
            <w:tcW w:w="1079" w:type="pct"/>
            <w:vMerge/>
            <w:vAlign w:val="center"/>
            <w:hideMark/>
          </w:tcPr>
          <w:p w14:paraId="45E9C941"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34DAAE23" w14:textId="32239A66"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80,215.39 </w:t>
            </w:r>
          </w:p>
        </w:tc>
      </w:tr>
      <w:tr w:rsidR="00514A78" w:rsidRPr="00514A78" w14:paraId="23AFB407" w14:textId="77777777" w:rsidTr="00592342">
        <w:trPr>
          <w:trHeight w:val="300"/>
          <w:jc w:val="center"/>
        </w:trPr>
        <w:tc>
          <w:tcPr>
            <w:tcW w:w="1372" w:type="pct"/>
            <w:shd w:val="clear" w:color="auto" w:fill="auto"/>
            <w:noWrap/>
            <w:vAlign w:val="center"/>
            <w:hideMark/>
          </w:tcPr>
          <w:p w14:paraId="6270A626"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Emiliano zapata</w:t>
            </w:r>
          </w:p>
        </w:tc>
        <w:tc>
          <w:tcPr>
            <w:tcW w:w="1078" w:type="pct"/>
            <w:shd w:val="clear" w:color="auto" w:fill="auto"/>
            <w:noWrap/>
            <w:vAlign w:val="center"/>
            <w:hideMark/>
          </w:tcPr>
          <w:p w14:paraId="16A2D9B9" w14:textId="4F507D1B" w:rsidR="004E7C4D" w:rsidRPr="00514A78" w:rsidRDefault="00C50CF8"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w:t>
            </w:r>
            <w:r w:rsidR="004E7C4D" w:rsidRPr="00514A78">
              <w:rPr>
                <w:rFonts w:eastAsia="Times New Roman"/>
                <w:kern w:val="0"/>
                <w:sz w:val="18"/>
                <w:szCs w:val="18"/>
                <w:lang w:eastAsia="es-MX"/>
                <w14:ligatures w14:val="none"/>
              </w:rPr>
              <w:t xml:space="preserve">97,864.27 </w:t>
            </w:r>
          </w:p>
        </w:tc>
        <w:tc>
          <w:tcPr>
            <w:tcW w:w="1079" w:type="pct"/>
            <w:vMerge/>
            <w:vAlign w:val="center"/>
            <w:hideMark/>
          </w:tcPr>
          <w:p w14:paraId="0087407D"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5FC1AA50" w14:textId="2C89D8D7" w:rsidR="004E7C4D" w:rsidRPr="00514A78" w:rsidRDefault="004E7C4D" w:rsidP="00C50CF8">
            <w:pPr>
              <w:spacing w:beforeLines="20" w:before="48" w:afterLines="20" w:after="48"/>
              <w:ind w:left="708" w:hanging="70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19,572.85 </w:t>
            </w:r>
          </w:p>
        </w:tc>
      </w:tr>
      <w:tr w:rsidR="00514A78" w:rsidRPr="00514A78" w14:paraId="45F37A73" w14:textId="77777777" w:rsidTr="00592342">
        <w:trPr>
          <w:trHeight w:val="300"/>
          <w:jc w:val="center"/>
        </w:trPr>
        <w:tc>
          <w:tcPr>
            <w:tcW w:w="1372" w:type="pct"/>
            <w:shd w:val="clear" w:color="auto" w:fill="auto"/>
            <w:noWrap/>
            <w:vAlign w:val="center"/>
            <w:hideMark/>
          </w:tcPr>
          <w:p w14:paraId="269A443D"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Huimanguillo</w:t>
            </w:r>
          </w:p>
        </w:tc>
        <w:tc>
          <w:tcPr>
            <w:tcW w:w="1078" w:type="pct"/>
            <w:shd w:val="clear" w:color="auto" w:fill="auto"/>
            <w:noWrap/>
            <w:vAlign w:val="center"/>
            <w:hideMark/>
          </w:tcPr>
          <w:p w14:paraId="0738ADE2" w14:textId="663DF96F"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556,879.37 </w:t>
            </w:r>
          </w:p>
        </w:tc>
        <w:tc>
          <w:tcPr>
            <w:tcW w:w="1079" w:type="pct"/>
            <w:vMerge/>
            <w:vAlign w:val="center"/>
            <w:hideMark/>
          </w:tcPr>
          <w:p w14:paraId="247362C9"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79A18EE2" w14:textId="0F52FFE4"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111,375.87 </w:t>
            </w:r>
          </w:p>
        </w:tc>
      </w:tr>
      <w:tr w:rsidR="00514A78" w:rsidRPr="00514A78" w14:paraId="7B8E2EE9" w14:textId="77777777" w:rsidTr="00592342">
        <w:trPr>
          <w:trHeight w:val="300"/>
          <w:jc w:val="center"/>
        </w:trPr>
        <w:tc>
          <w:tcPr>
            <w:tcW w:w="1372" w:type="pct"/>
            <w:shd w:val="clear" w:color="auto" w:fill="auto"/>
            <w:noWrap/>
            <w:vAlign w:val="center"/>
            <w:hideMark/>
          </w:tcPr>
          <w:p w14:paraId="28AD5B7B"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Jalapa</w:t>
            </w:r>
          </w:p>
        </w:tc>
        <w:tc>
          <w:tcPr>
            <w:tcW w:w="1078" w:type="pct"/>
            <w:shd w:val="clear" w:color="auto" w:fill="auto"/>
            <w:noWrap/>
            <w:vAlign w:val="center"/>
            <w:hideMark/>
          </w:tcPr>
          <w:p w14:paraId="1D9B3F06" w14:textId="26802979"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119,911.42 </w:t>
            </w:r>
          </w:p>
        </w:tc>
        <w:tc>
          <w:tcPr>
            <w:tcW w:w="1079" w:type="pct"/>
            <w:vMerge/>
            <w:vAlign w:val="center"/>
            <w:hideMark/>
          </w:tcPr>
          <w:p w14:paraId="67CD8BA4"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5372F0D6" w14:textId="01C22504"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23,982.28 </w:t>
            </w:r>
          </w:p>
        </w:tc>
      </w:tr>
      <w:tr w:rsidR="00514A78" w:rsidRPr="00514A78" w14:paraId="278257CF" w14:textId="77777777" w:rsidTr="00592342">
        <w:trPr>
          <w:trHeight w:val="300"/>
          <w:jc w:val="center"/>
        </w:trPr>
        <w:tc>
          <w:tcPr>
            <w:tcW w:w="1372" w:type="pct"/>
            <w:shd w:val="clear" w:color="auto" w:fill="auto"/>
            <w:noWrap/>
            <w:vAlign w:val="center"/>
            <w:hideMark/>
          </w:tcPr>
          <w:p w14:paraId="18AA9370"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Jalpa de Méndez</w:t>
            </w:r>
          </w:p>
        </w:tc>
        <w:tc>
          <w:tcPr>
            <w:tcW w:w="1078" w:type="pct"/>
            <w:shd w:val="clear" w:color="auto" w:fill="auto"/>
            <w:noWrap/>
            <w:vAlign w:val="center"/>
            <w:hideMark/>
          </w:tcPr>
          <w:p w14:paraId="62E6EDA7" w14:textId="78FC442F"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273,975.31 </w:t>
            </w:r>
          </w:p>
        </w:tc>
        <w:tc>
          <w:tcPr>
            <w:tcW w:w="1079" w:type="pct"/>
            <w:vMerge/>
            <w:vAlign w:val="center"/>
            <w:hideMark/>
          </w:tcPr>
          <w:p w14:paraId="503801D3"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0FAAD38C" w14:textId="3C578AC1"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54,795.06 </w:t>
            </w:r>
          </w:p>
        </w:tc>
      </w:tr>
      <w:tr w:rsidR="00514A78" w:rsidRPr="00514A78" w14:paraId="5352BD89" w14:textId="77777777" w:rsidTr="00592342">
        <w:trPr>
          <w:trHeight w:val="300"/>
          <w:jc w:val="center"/>
        </w:trPr>
        <w:tc>
          <w:tcPr>
            <w:tcW w:w="1372" w:type="pct"/>
            <w:shd w:val="clear" w:color="auto" w:fill="auto"/>
            <w:noWrap/>
            <w:vAlign w:val="center"/>
            <w:hideMark/>
          </w:tcPr>
          <w:p w14:paraId="4E6F71A5"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roofErr w:type="spellStart"/>
            <w:r w:rsidRPr="00514A78">
              <w:rPr>
                <w:rFonts w:eastAsia="Times New Roman"/>
                <w:kern w:val="0"/>
                <w:sz w:val="18"/>
                <w:szCs w:val="18"/>
                <w:lang w:eastAsia="es-MX"/>
                <w14:ligatures w14:val="none"/>
              </w:rPr>
              <w:t>Jonuta</w:t>
            </w:r>
            <w:proofErr w:type="spellEnd"/>
          </w:p>
        </w:tc>
        <w:tc>
          <w:tcPr>
            <w:tcW w:w="1078" w:type="pct"/>
            <w:shd w:val="clear" w:color="auto" w:fill="auto"/>
            <w:noWrap/>
            <w:vAlign w:val="center"/>
            <w:hideMark/>
          </w:tcPr>
          <w:p w14:paraId="2467B1CB" w14:textId="604FFAAE"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98,426.61 </w:t>
            </w:r>
          </w:p>
        </w:tc>
        <w:tc>
          <w:tcPr>
            <w:tcW w:w="1079" w:type="pct"/>
            <w:vMerge/>
            <w:vAlign w:val="center"/>
            <w:hideMark/>
          </w:tcPr>
          <w:p w14:paraId="391C6CF9"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128D5717" w14:textId="225942E9"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19,685.32 </w:t>
            </w:r>
          </w:p>
        </w:tc>
      </w:tr>
      <w:tr w:rsidR="00514A78" w:rsidRPr="00514A78" w14:paraId="7AC76662" w14:textId="77777777" w:rsidTr="00592342">
        <w:trPr>
          <w:trHeight w:val="300"/>
          <w:jc w:val="center"/>
        </w:trPr>
        <w:tc>
          <w:tcPr>
            <w:tcW w:w="1372" w:type="pct"/>
            <w:shd w:val="clear" w:color="auto" w:fill="auto"/>
            <w:noWrap/>
            <w:vAlign w:val="center"/>
            <w:hideMark/>
          </w:tcPr>
          <w:p w14:paraId="283E02BE"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Macuspana</w:t>
            </w:r>
          </w:p>
        </w:tc>
        <w:tc>
          <w:tcPr>
            <w:tcW w:w="1078" w:type="pct"/>
            <w:shd w:val="clear" w:color="auto" w:fill="auto"/>
            <w:noWrap/>
            <w:vAlign w:val="center"/>
            <w:hideMark/>
          </w:tcPr>
          <w:p w14:paraId="6DFC01EC" w14:textId="72C92FCF"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504,186.85 </w:t>
            </w:r>
          </w:p>
        </w:tc>
        <w:tc>
          <w:tcPr>
            <w:tcW w:w="1079" w:type="pct"/>
            <w:vMerge/>
            <w:vAlign w:val="center"/>
            <w:hideMark/>
          </w:tcPr>
          <w:p w14:paraId="77E29ED6"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4BF46B5B" w14:textId="2DF61181"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100,837.37 </w:t>
            </w:r>
          </w:p>
        </w:tc>
      </w:tr>
      <w:tr w:rsidR="00514A78" w:rsidRPr="00514A78" w14:paraId="6A42283D" w14:textId="77777777" w:rsidTr="00592342">
        <w:trPr>
          <w:trHeight w:val="300"/>
          <w:jc w:val="center"/>
        </w:trPr>
        <w:tc>
          <w:tcPr>
            <w:tcW w:w="1372" w:type="pct"/>
            <w:shd w:val="clear" w:color="auto" w:fill="auto"/>
            <w:noWrap/>
            <w:vAlign w:val="center"/>
            <w:hideMark/>
          </w:tcPr>
          <w:p w14:paraId="4EAFC61F"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roofErr w:type="spellStart"/>
            <w:r w:rsidRPr="00514A78">
              <w:rPr>
                <w:rFonts w:eastAsia="Times New Roman"/>
                <w:kern w:val="0"/>
                <w:sz w:val="18"/>
                <w:szCs w:val="18"/>
                <w:lang w:eastAsia="es-MX"/>
                <w14:ligatures w14:val="none"/>
              </w:rPr>
              <w:t>Nacajuca</w:t>
            </w:r>
            <w:proofErr w:type="spellEnd"/>
          </w:p>
        </w:tc>
        <w:tc>
          <w:tcPr>
            <w:tcW w:w="1078" w:type="pct"/>
            <w:shd w:val="clear" w:color="auto" w:fill="auto"/>
            <w:noWrap/>
            <w:vAlign w:val="center"/>
            <w:hideMark/>
          </w:tcPr>
          <w:p w14:paraId="48506B4D" w14:textId="399E0EE4"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411,353.59 </w:t>
            </w:r>
          </w:p>
        </w:tc>
        <w:tc>
          <w:tcPr>
            <w:tcW w:w="1079" w:type="pct"/>
            <w:vMerge/>
            <w:vAlign w:val="center"/>
            <w:hideMark/>
          </w:tcPr>
          <w:p w14:paraId="50315338"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0F527AEA" w14:textId="2C363C85"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82,270.72 </w:t>
            </w:r>
          </w:p>
        </w:tc>
      </w:tr>
      <w:tr w:rsidR="00514A78" w:rsidRPr="00514A78" w14:paraId="1001C6A2" w14:textId="77777777" w:rsidTr="00592342">
        <w:trPr>
          <w:trHeight w:val="300"/>
          <w:jc w:val="center"/>
        </w:trPr>
        <w:tc>
          <w:tcPr>
            <w:tcW w:w="1372" w:type="pct"/>
            <w:shd w:val="clear" w:color="auto" w:fill="auto"/>
            <w:noWrap/>
            <w:vAlign w:val="center"/>
            <w:hideMark/>
          </w:tcPr>
          <w:p w14:paraId="070EA613"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Paraíso</w:t>
            </w:r>
          </w:p>
        </w:tc>
        <w:tc>
          <w:tcPr>
            <w:tcW w:w="1078" w:type="pct"/>
            <w:shd w:val="clear" w:color="auto" w:fill="auto"/>
            <w:noWrap/>
            <w:vAlign w:val="center"/>
            <w:hideMark/>
          </w:tcPr>
          <w:p w14:paraId="5805C852" w14:textId="5680F570" w:rsidR="004E7C4D" w:rsidRPr="00514A78" w:rsidRDefault="00C50CF8"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w:t>
            </w:r>
            <w:r w:rsidR="004E7C4D" w:rsidRPr="00514A78">
              <w:rPr>
                <w:rFonts w:eastAsia="Times New Roman"/>
                <w:kern w:val="0"/>
                <w:sz w:val="18"/>
                <w:szCs w:val="18"/>
                <w:lang w:eastAsia="es-MX"/>
                <w14:ligatures w14:val="none"/>
              </w:rPr>
              <w:t xml:space="preserve">296,322.94 </w:t>
            </w:r>
          </w:p>
        </w:tc>
        <w:tc>
          <w:tcPr>
            <w:tcW w:w="1079" w:type="pct"/>
            <w:vMerge/>
            <w:vAlign w:val="center"/>
            <w:hideMark/>
          </w:tcPr>
          <w:p w14:paraId="70E2CC13"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47BBF062" w14:textId="58B7B243"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59,264.59 </w:t>
            </w:r>
          </w:p>
        </w:tc>
      </w:tr>
      <w:tr w:rsidR="00514A78" w:rsidRPr="00514A78" w14:paraId="753F9E26" w14:textId="77777777" w:rsidTr="00592342">
        <w:trPr>
          <w:trHeight w:val="300"/>
          <w:jc w:val="center"/>
        </w:trPr>
        <w:tc>
          <w:tcPr>
            <w:tcW w:w="1372" w:type="pct"/>
            <w:shd w:val="clear" w:color="auto" w:fill="auto"/>
            <w:noWrap/>
            <w:vAlign w:val="center"/>
            <w:hideMark/>
          </w:tcPr>
          <w:p w14:paraId="2F2DDEF6"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Tacotalpa</w:t>
            </w:r>
          </w:p>
        </w:tc>
        <w:tc>
          <w:tcPr>
            <w:tcW w:w="1078" w:type="pct"/>
            <w:shd w:val="clear" w:color="auto" w:fill="auto"/>
            <w:noWrap/>
            <w:vAlign w:val="center"/>
            <w:hideMark/>
          </w:tcPr>
          <w:p w14:paraId="0DCF605B" w14:textId="4673FF51"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143,632.71 </w:t>
            </w:r>
          </w:p>
        </w:tc>
        <w:tc>
          <w:tcPr>
            <w:tcW w:w="1079" w:type="pct"/>
            <w:vMerge/>
            <w:vAlign w:val="center"/>
            <w:hideMark/>
          </w:tcPr>
          <w:p w14:paraId="67B0467E"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708D3BE4" w14:textId="6F0C136C"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28,726.54 </w:t>
            </w:r>
          </w:p>
        </w:tc>
      </w:tr>
      <w:tr w:rsidR="00514A78" w:rsidRPr="00514A78" w14:paraId="7651CD34" w14:textId="77777777" w:rsidTr="00592342">
        <w:trPr>
          <w:trHeight w:val="300"/>
          <w:jc w:val="center"/>
        </w:trPr>
        <w:tc>
          <w:tcPr>
            <w:tcW w:w="1372" w:type="pct"/>
            <w:shd w:val="clear" w:color="auto" w:fill="auto"/>
            <w:noWrap/>
            <w:vAlign w:val="center"/>
            <w:hideMark/>
          </w:tcPr>
          <w:p w14:paraId="24A30F9E"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Teapa</w:t>
            </w:r>
          </w:p>
        </w:tc>
        <w:tc>
          <w:tcPr>
            <w:tcW w:w="1078" w:type="pct"/>
            <w:shd w:val="clear" w:color="auto" w:fill="auto"/>
            <w:noWrap/>
            <w:vAlign w:val="center"/>
            <w:hideMark/>
          </w:tcPr>
          <w:p w14:paraId="1E9AE4F6" w14:textId="5FFD8C21"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172,483.73 </w:t>
            </w:r>
          </w:p>
        </w:tc>
        <w:tc>
          <w:tcPr>
            <w:tcW w:w="1079" w:type="pct"/>
            <w:vMerge/>
            <w:vAlign w:val="center"/>
            <w:hideMark/>
          </w:tcPr>
          <w:p w14:paraId="374E6C90"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56A796D2" w14:textId="0CEC69C9"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34,496.75 </w:t>
            </w:r>
          </w:p>
        </w:tc>
      </w:tr>
      <w:tr w:rsidR="00514A78" w:rsidRPr="00514A78" w14:paraId="4F17FE68" w14:textId="77777777" w:rsidTr="00592342">
        <w:trPr>
          <w:trHeight w:val="300"/>
          <w:jc w:val="center"/>
        </w:trPr>
        <w:tc>
          <w:tcPr>
            <w:tcW w:w="1372" w:type="pct"/>
            <w:shd w:val="clear" w:color="auto" w:fill="auto"/>
            <w:noWrap/>
            <w:vAlign w:val="center"/>
            <w:hideMark/>
          </w:tcPr>
          <w:p w14:paraId="3B3A38B4"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Tenosique</w:t>
            </w:r>
          </w:p>
        </w:tc>
        <w:tc>
          <w:tcPr>
            <w:tcW w:w="1078" w:type="pct"/>
            <w:shd w:val="clear" w:color="auto" w:fill="auto"/>
            <w:noWrap/>
            <w:vAlign w:val="center"/>
            <w:hideMark/>
          </w:tcPr>
          <w:p w14:paraId="439E3220" w14:textId="1A2B1F8C" w:rsidR="004E7C4D" w:rsidRPr="00514A78" w:rsidRDefault="00C50CF8"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w:t>
            </w:r>
            <w:r w:rsidR="004E7C4D" w:rsidRPr="00514A78">
              <w:rPr>
                <w:rFonts w:eastAsia="Times New Roman"/>
                <w:kern w:val="0"/>
                <w:sz w:val="18"/>
                <w:szCs w:val="18"/>
                <w:lang w:eastAsia="es-MX"/>
                <w14:ligatures w14:val="none"/>
              </w:rPr>
              <w:t xml:space="preserve">187,812.86 </w:t>
            </w:r>
          </w:p>
        </w:tc>
        <w:tc>
          <w:tcPr>
            <w:tcW w:w="1079" w:type="pct"/>
            <w:vMerge/>
            <w:vAlign w:val="center"/>
            <w:hideMark/>
          </w:tcPr>
          <w:p w14:paraId="26F5BC36" w14:textId="77777777" w:rsidR="004E7C4D" w:rsidRPr="00514A78" w:rsidRDefault="004E7C4D" w:rsidP="00C50CF8">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3C421B24" w14:textId="5C98A250" w:rsidR="004E7C4D" w:rsidRPr="00514A78" w:rsidRDefault="004E7C4D" w:rsidP="00C50CF8">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w:t>
            </w:r>
            <w:r w:rsidR="00C50CF8" w:rsidRPr="00514A78">
              <w:rPr>
                <w:rFonts w:eastAsia="Times New Roman"/>
                <w:kern w:val="0"/>
                <w:sz w:val="18"/>
                <w:szCs w:val="18"/>
                <w:lang w:eastAsia="es-MX"/>
                <w14:ligatures w14:val="none"/>
              </w:rPr>
              <w:t>$</w:t>
            </w:r>
            <w:r w:rsidRPr="00514A78">
              <w:rPr>
                <w:rFonts w:eastAsia="Times New Roman"/>
                <w:kern w:val="0"/>
                <w:sz w:val="18"/>
                <w:szCs w:val="18"/>
                <w:lang w:eastAsia="es-MX"/>
                <w14:ligatures w14:val="none"/>
              </w:rPr>
              <w:t xml:space="preserve">37,562.57 </w:t>
            </w:r>
          </w:p>
        </w:tc>
      </w:tr>
      <w:tr w:rsidR="00514A78" w:rsidRPr="00514A78" w14:paraId="56E36051" w14:textId="77777777" w:rsidTr="00592342">
        <w:trPr>
          <w:trHeight w:val="315"/>
          <w:jc w:val="center"/>
        </w:trPr>
        <w:tc>
          <w:tcPr>
            <w:tcW w:w="1372" w:type="pct"/>
            <w:shd w:val="clear" w:color="auto" w:fill="BFBFBF" w:themeFill="background1" w:themeFillShade="BF"/>
            <w:noWrap/>
            <w:vAlign w:val="center"/>
            <w:hideMark/>
          </w:tcPr>
          <w:p w14:paraId="6687BCD0" w14:textId="77777777" w:rsidR="004E7C4D" w:rsidRPr="00514A78" w:rsidRDefault="004E7C4D" w:rsidP="00593C32">
            <w:pPr>
              <w:spacing w:beforeLines="20" w:before="48" w:afterLines="20" w:after="48"/>
              <w:jc w:val="right"/>
              <w:rPr>
                <w:rFonts w:eastAsia="Times New Roman"/>
                <w:b/>
                <w:bCs/>
                <w:kern w:val="0"/>
                <w:sz w:val="18"/>
                <w:szCs w:val="18"/>
                <w:lang w:eastAsia="es-MX"/>
                <w14:ligatures w14:val="none"/>
              </w:rPr>
            </w:pPr>
            <w:r w:rsidRPr="00514A78">
              <w:rPr>
                <w:rFonts w:eastAsia="Times New Roman"/>
                <w:b/>
                <w:bCs/>
                <w:kern w:val="0"/>
                <w:sz w:val="18"/>
                <w:szCs w:val="18"/>
                <w:lang w:eastAsia="es-MX"/>
                <w14:ligatures w14:val="none"/>
              </w:rPr>
              <w:t>Total</w:t>
            </w:r>
          </w:p>
        </w:tc>
        <w:tc>
          <w:tcPr>
            <w:tcW w:w="1078" w:type="pct"/>
            <w:shd w:val="clear" w:color="auto" w:fill="BFBFBF" w:themeFill="background1" w:themeFillShade="BF"/>
            <w:noWrap/>
            <w:vAlign w:val="bottom"/>
            <w:hideMark/>
          </w:tcPr>
          <w:p w14:paraId="00635A06" w14:textId="3D521B63" w:rsidR="004E7C4D" w:rsidRPr="00514A78" w:rsidRDefault="004E7C4D" w:rsidP="00C50CF8">
            <w:pPr>
              <w:spacing w:beforeLines="20" w:before="48" w:afterLines="20" w:after="48"/>
              <w:jc w:val="right"/>
              <w:rPr>
                <w:rFonts w:eastAsia="Times New Roman"/>
                <w:b/>
                <w:bCs/>
                <w:kern w:val="0"/>
                <w:sz w:val="18"/>
                <w:szCs w:val="18"/>
                <w:lang w:eastAsia="es-MX"/>
                <w14:ligatures w14:val="none"/>
              </w:rPr>
            </w:pPr>
            <w:r w:rsidRPr="00514A78">
              <w:rPr>
                <w:rFonts w:eastAsia="Times New Roman"/>
                <w:b/>
                <w:bCs/>
                <w:kern w:val="0"/>
                <w:sz w:val="18"/>
                <w:szCs w:val="18"/>
                <w:lang w:eastAsia="es-MX"/>
                <w14:ligatures w14:val="none"/>
              </w:rPr>
              <w:t xml:space="preserve"> </w:t>
            </w:r>
            <w:r w:rsidR="00C50CF8" w:rsidRPr="00514A78">
              <w:rPr>
                <w:rFonts w:eastAsia="Times New Roman"/>
                <w:b/>
                <w:bCs/>
                <w:kern w:val="0"/>
                <w:sz w:val="18"/>
                <w:szCs w:val="18"/>
                <w:lang w:eastAsia="es-MX"/>
                <w14:ligatures w14:val="none"/>
              </w:rPr>
              <w:t>$</w:t>
            </w:r>
            <w:r w:rsidRPr="00514A78">
              <w:rPr>
                <w:rFonts w:eastAsia="Times New Roman"/>
                <w:b/>
                <w:bCs/>
                <w:kern w:val="0"/>
                <w:sz w:val="18"/>
                <w:szCs w:val="18"/>
                <w:lang w:eastAsia="es-MX"/>
                <w14:ligatures w14:val="none"/>
              </w:rPr>
              <w:t>7</w:t>
            </w:r>
            <w:r w:rsidR="00C50CF8" w:rsidRPr="00514A78">
              <w:rPr>
                <w:rFonts w:eastAsia="Times New Roman"/>
                <w:b/>
                <w:bCs/>
                <w:kern w:val="0"/>
                <w:sz w:val="18"/>
                <w:szCs w:val="18"/>
                <w:lang w:eastAsia="es-MX"/>
                <w14:ligatures w14:val="none"/>
              </w:rPr>
              <w:t>’</w:t>
            </w:r>
            <w:r w:rsidRPr="00514A78">
              <w:rPr>
                <w:rFonts w:eastAsia="Times New Roman"/>
                <w:b/>
                <w:bCs/>
                <w:kern w:val="0"/>
                <w:sz w:val="18"/>
                <w:szCs w:val="18"/>
                <w:lang w:eastAsia="es-MX"/>
                <w14:ligatures w14:val="none"/>
              </w:rPr>
              <w:t xml:space="preserve">316,085.97 </w:t>
            </w:r>
          </w:p>
        </w:tc>
        <w:tc>
          <w:tcPr>
            <w:tcW w:w="1079" w:type="pct"/>
            <w:shd w:val="clear" w:color="auto" w:fill="BFBFBF" w:themeFill="background1" w:themeFillShade="BF"/>
            <w:noWrap/>
            <w:vAlign w:val="bottom"/>
            <w:hideMark/>
          </w:tcPr>
          <w:p w14:paraId="7E813F37" w14:textId="77777777" w:rsidR="004E7C4D" w:rsidRPr="00514A78" w:rsidRDefault="004E7C4D" w:rsidP="00C50CF8">
            <w:pPr>
              <w:spacing w:beforeLines="20" w:before="48" w:afterLines="20" w:after="48"/>
              <w:jc w:val="left"/>
              <w:rPr>
                <w:rFonts w:eastAsia="Times New Roman"/>
                <w:b/>
                <w:bCs/>
                <w:kern w:val="0"/>
                <w:sz w:val="18"/>
                <w:szCs w:val="18"/>
                <w:lang w:eastAsia="es-MX"/>
                <w14:ligatures w14:val="none"/>
              </w:rPr>
            </w:pPr>
            <w:r w:rsidRPr="00514A78">
              <w:rPr>
                <w:rFonts w:eastAsia="Times New Roman"/>
                <w:b/>
                <w:bCs/>
                <w:kern w:val="0"/>
                <w:sz w:val="18"/>
                <w:szCs w:val="18"/>
                <w:lang w:eastAsia="es-MX"/>
                <w14:ligatures w14:val="none"/>
              </w:rPr>
              <w:t> </w:t>
            </w:r>
          </w:p>
        </w:tc>
        <w:tc>
          <w:tcPr>
            <w:tcW w:w="1470" w:type="pct"/>
            <w:shd w:val="clear" w:color="auto" w:fill="BFBFBF" w:themeFill="background1" w:themeFillShade="BF"/>
            <w:noWrap/>
            <w:vAlign w:val="bottom"/>
            <w:hideMark/>
          </w:tcPr>
          <w:p w14:paraId="3F63132C" w14:textId="69F043D3" w:rsidR="004E7C4D" w:rsidRPr="00514A78" w:rsidRDefault="004E7C4D" w:rsidP="00C50CF8">
            <w:pPr>
              <w:spacing w:beforeLines="20" w:before="48" w:afterLines="20" w:after="48"/>
              <w:jc w:val="right"/>
              <w:rPr>
                <w:rFonts w:eastAsia="Times New Roman"/>
                <w:b/>
                <w:bCs/>
                <w:kern w:val="0"/>
                <w:sz w:val="18"/>
                <w:szCs w:val="18"/>
                <w:lang w:eastAsia="es-MX"/>
                <w14:ligatures w14:val="none"/>
              </w:rPr>
            </w:pPr>
            <w:r w:rsidRPr="00514A78">
              <w:rPr>
                <w:rFonts w:eastAsia="Times New Roman"/>
                <w:b/>
                <w:bCs/>
                <w:kern w:val="0"/>
                <w:sz w:val="18"/>
                <w:szCs w:val="18"/>
                <w:lang w:eastAsia="es-MX"/>
                <w14:ligatures w14:val="none"/>
              </w:rPr>
              <w:t xml:space="preserve"> </w:t>
            </w:r>
            <w:r w:rsidR="00C50CF8" w:rsidRPr="00514A78">
              <w:rPr>
                <w:rFonts w:eastAsia="Times New Roman"/>
                <w:b/>
                <w:bCs/>
                <w:kern w:val="0"/>
                <w:sz w:val="18"/>
                <w:szCs w:val="18"/>
                <w:lang w:eastAsia="es-MX"/>
                <w14:ligatures w14:val="none"/>
              </w:rPr>
              <w:t>$</w:t>
            </w:r>
            <w:r w:rsidRPr="00514A78">
              <w:rPr>
                <w:rFonts w:eastAsia="Times New Roman"/>
                <w:b/>
                <w:bCs/>
                <w:kern w:val="0"/>
                <w:sz w:val="18"/>
                <w:szCs w:val="18"/>
                <w:lang w:eastAsia="es-MX"/>
                <w14:ligatures w14:val="none"/>
              </w:rPr>
              <w:t>1</w:t>
            </w:r>
            <w:r w:rsidR="00C50CF8" w:rsidRPr="00514A78">
              <w:rPr>
                <w:rFonts w:eastAsia="Times New Roman"/>
                <w:b/>
                <w:bCs/>
                <w:kern w:val="0"/>
                <w:sz w:val="18"/>
                <w:szCs w:val="18"/>
                <w:lang w:eastAsia="es-MX"/>
                <w14:ligatures w14:val="none"/>
              </w:rPr>
              <w:t>’</w:t>
            </w:r>
            <w:r w:rsidRPr="00514A78">
              <w:rPr>
                <w:rFonts w:eastAsia="Times New Roman"/>
                <w:b/>
                <w:bCs/>
                <w:kern w:val="0"/>
                <w:sz w:val="18"/>
                <w:szCs w:val="18"/>
                <w:lang w:eastAsia="es-MX"/>
                <w14:ligatures w14:val="none"/>
              </w:rPr>
              <w:t xml:space="preserve">463,217.19 </w:t>
            </w:r>
          </w:p>
        </w:tc>
      </w:tr>
    </w:tbl>
    <w:p w14:paraId="373A3591" w14:textId="77777777" w:rsidR="00592342" w:rsidRPr="00514A78" w:rsidRDefault="00592342" w:rsidP="00592342">
      <w:r w:rsidRPr="00514A78">
        <w:t>Sobre la base de las consideraciones señaladas, este Consejo Estatal emite el siguiente:</w:t>
      </w:r>
    </w:p>
    <w:p w14:paraId="4F25DB22" w14:textId="77777777" w:rsidR="00592342" w:rsidRPr="00F96440" w:rsidRDefault="00592342" w:rsidP="006C405D">
      <w:pPr>
        <w:pStyle w:val="Ttulo1"/>
        <w:rPr>
          <w:sz w:val="24"/>
          <w:szCs w:val="24"/>
        </w:rPr>
      </w:pPr>
      <w:r w:rsidRPr="00F96440">
        <w:rPr>
          <w:sz w:val="24"/>
          <w:szCs w:val="24"/>
        </w:rPr>
        <w:t>Acuerdo</w:t>
      </w:r>
    </w:p>
    <w:p w14:paraId="7A5490EC" w14:textId="6FF4113D" w:rsidR="00592342" w:rsidRPr="00514A78" w:rsidRDefault="00592342" w:rsidP="00592342">
      <w:pPr>
        <w:pStyle w:val="Puntos"/>
        <w:spacing w:line="300" w:lineRule="auto"/>
        <w:ind w:left="0"/>
        <w:rPr>
          <w:bCs/>
          <w:sz w:val="23"/>
          <w:szCs w:val="23"/>
        </w:rPr>
      </w:pPr>
      <w:r w:rsidRPr="00514A78">
        <w:rPr>
          <w:b/>
          <w:sz w:val="23"/>
          <w:szCs w:val="23"/>
        </w:rPr>
        <w:t xml:space="preserve">Primero. </w:t>
      </w:r>
      <w:r w:rsidRPr="00514A78">
        <w:rPr>
          <w:bCs/>
          <w:sz w:val="23"/>
          <w:szCs w:val="23"/>
        </w:rPr>
        <w:t xml:space="preserve">Se determina como límite o tope máximo de gastos de precampaña que puede erogar un partido político o coalición para la elección relativa a la Gubernatura del Estado, la cantidad de </w:t>
      </w:r>
      <w:r w:rsidRPr="00514A78">
        <w:rPr>
          <w:b/>
          <w:sz w:val="23"/>
          <w:szCs w:val="23"/>
        </w:rPr>
        <w:t>$4’097,636.83 (cuatro millones noventa y siete mil seiscientos treinta y seis pesos 83/100 moneda nacional)</w:t>
      </w:r>
      <w:r w:rsidRPr="00514A78">
        <w:rPr>
          <w:bCs/>
          <w:sz w:val="23"/>
          <w:szCs w:val="23"/>
        </w:rPr>
        <w:t xml:space="preserve"> que se obtiene de aplicar el 20% sobre el tope de gastos de campaña para la elección de Gubernatura en el Proceso Electoral Local anterior.</w:t>
      </w:r>
    </w:p>
    <w:p w14:paraId="3585BD48" w14:textId="04A9A6ED" w:rsidR="00592342" w:rsidRDefault="00592342" w:rsidP="00592342">
      <w:pPr>
        <w:pStyle w:val="Puntos"/>
        <w:spacing w:line="300" w:lineRule="auto"/>
        <w:ind w:left="0"/>
        <w:rPr>
          <w:bCs/>
          <w:sz w:val="23"/>
          <w:szCs w:val="23"/>
        </w:rPr>
      </w:pPr>
      <w:r w:rsidRPr="00514A78">
        <w:rPr>
          <w:b/>
          <w:sz w:val="23"/>
          <w:szCs w:val="23"/>
        </w:rPr>
        <w:t xml:space="preserve">Segundo. </w:t>
      </w:r>
      <w:r w:rsidRPr="00514A78">
        <w:rPr>
          <w:bCs/>
          <w:sz w:val="23"/>
          <w:szCs w:val="23"/>
        </w:rPr>
        <w:t xml:space="preserve">Se determina como límite o tope máximo de gastos de precampaña que puede erogar un partido político o coalición para la elección relativa a las Diputaciones locales, la cantidad de </w:t>
      </w:r>
      <w:r w:rsidRPr="00514A78">
        <w:rPr>
          <w:b/>
          <w:sz w:val="23"/>
          <w:szCs w:val="23"/>
        </w:rPr>
        <w:t xml:space="preserve">$1’463,217.19 (un millón cuatrocientos sesenta y tres mil doscientos diecisiete pesos 19/100 moneda nacional) </w:t>
      </w:r>
      <w:r w:rsidRPr="00514A78">
        <w:rPr>
          <w:bCs/>
          <w:sz w:val="23"/>
          <w:szCs w:val="23"/>
        </w:rPr>
        <w:t xml:space="preserve">que se obtiene de aplicar el 20% sobre el tope de gastos de campaña para la elección de Diputaciones en el Proceso Electoral Local anterior, el cual de forma individualizada </w:t>
      </w:r>
      <w:r w:rsidR="002A2AF9" w:rsidRPr="00514A78">
        <w:rPr>
          <w:bCs/>
          <w:sz w:val="23"/>
          <w:szCs w:val="23"/>
        </w:rPr>
        <w:t xml:space="preserve">para distrito </w:t>
      </w:r>
      <w:r w:rsidRPr="00514A78">
        <w:rPr>
          <w:bCs/>
          <w:sz w:val="23"/>
          <w:szCs w:val="23"/>
        </w:rPr>
        <w:t>se distribuye de la siguiente forma:</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4A0" w:firstRow="1" w:lastRow="0" w:firstColumn="1" w:lastColumn="0" w:noHBand="0" w:noVBand="1"/>
      </w:tblPr>
      <w:tblGrid>
        <w:gridCol w:w="416"/>
        <w:gridCol w:w="2840"/>
        <w:gridCol w:w="991"/>
        <w:gridCol w:w="1134"/>
        <w:gridCol w:w="1277"/>
        <w:gridCol w:w="712"/>
        <w:gridCol w:w="1458"/>
      </w:tblGrid>
      <w:tr w:rsidR="00E04CFA" w:rsidRPr="00514A78" w14:paraId="465D7B8F" w14:textId="77777777" w:rsidTr="00114F89">
        <w:trPr>
          <w:trHeight w:val="525"/>
          <w:tblHeader/>
        </w:trPr>
        <w:tc>
          <w:tcPr>
            <w:tcW w:w="1844" w:type="pct"/>
            <w:gridSpan w:val="2"/>
            <w:vMerge w:val="restart"/>
            <w:shd w:val="clear" w:color="auto" w:fill="993366"/>
            <w:vAlign w:val="center"/>
          </w:tcPr>
          <w:p w14:paraId="6EB57F1F" w14:textId="77777777" w:rsidR="00E04CFA" w:rsidRPr="00DE3330" w:rsidRDefault="00E04CFA" w:rsidP="00114F89">
            <w:pPr>
              <w:spacing w:before="20" w:after="20"/>
              <w:jc w:val="center"/>
              <w:rPr>
                <w:rFonts w:ascii="Arial Negrita" w:eastAsia="Times New Roman" w:hAnsi="Arial Negrita"/>
                <w:b/>
                <w:bCs/>
                <w:color w:val="FFFFFF" w:themeColor="background1"/>
                <w:spacing w:val="-10"/>
                <w:kern w:val="0"/>
                <w:sz w:val="14"/>
                <w:szCs w:val="14"/>
                <w:lang w:eastAsia="es-MX"/>
                <w14:ligatures w14:val="none"/>
              </w:rPr>
            </w:pPr>
            <w:r w:rsidRPr="00DE3330">
              <w:rPr>
                <w:rFonts w:ascii="Arial Negrita" w:eastAsia="Times New Roman" w:hAnsi="Arial Negrita"/>
                <w:b/>
                <w:bCs/>
                <w:color w:val="FFFFFF" w:themeColor="background1"/>
                <w:spacing w:val="-10"/>
                <w:kern w:val="0"/>
                <w:sz w:val="14"/>
                <w:szCs w:val="14"/>
                <w:lang w:eastAsia="es-MX"/>
                <w14:ligatures w14:val="none"/>
              </w:rPr>
              <w:t>Distrito</w:t>
            </w:r>
          </w:p>
        </w:tc>
        <w:tc>
          <w:tcPr>
            <w:tcW w:w="561" w:type="pct"/>
            <w:shd w:val="clear" w:color="auto" w:fill="993366"/>
            <w:vAlign w:val="center"/>
          </w:tcPr>
          <w:p w14:paraId="43DAB608" w14:textId="77777777" w:rsidR="00E04CFA" w:rsidRPr="00DE3330" w:rsidRDefault="00E04CFA" w:rsidP="00114F89">
            <w:pPr>
              <w:spacing w:before="20" w:after="20"/>
              <w:jc w:val="center"/>
              <w:rPr>
                <w:rFonts w:ascii="Arial Negrita" w:eastAsia="Times New Roman" w:hAnsi="Arial Negrita"/>
                <w:b/>
                <w:bCs/>
                <w:color w:val="FFFFFF" w:themeColor="background1"/>
                <w:spacing w:val="-10"/>
                <w:kern w:val="0"/>
                <w:sz w:val="14"/>
                <w:szCs w:val="14"/>
                <w:lang w:eastAsia="es-MX"/>
                <w14:ligatures w14:val="none"/>
              </w:rPr>
            </w:pPr>
            <w:r w:rsidRPr="00DE3330">
              <w:rPr>
                <w:rFonts w:ascii="Arial Negrita" w:eastAsia="Times New Roman" w:hAnsi="Arial Negrita"/>
                <w:b/>
                <w:bCs/>
                <w:color w:val="FFFFFF" w:themeColor="background1"/>
                <w:spacing w:val="-10"/>
                <w:kern w:val="0"/>
                <w:sz w:val="14"/>
                <w:szCs w:val="14"/>
                <w:lang w:eastAsia="es-MX"/>
                <w14:ligatures w14:val="none"/>
              </w:rPr>
              <w:t>Listado nominal (31 de julio de 2023)</w:t>
            </w:r>
          </w:p>
        </w:tc>
        <w:tc>
          <w:tcPr>
            <w:tcW w:w="642" w:type="pct"/>
            <w:shd w:val="clear" w:color="auto" w:fill="993366"/>
            <w:vAlign w:val="center"/>
          </w:tcPr>
          <w:p w14:paraId="38862ECB" w14:textId="77777777" w:rsidR="00E04CFA" w:rsidRPr="00DE3330" w:rsidRDefault="00E04CFA" w:rsidP="00114F89">
            <w:pPr>
              <w:spacing w:before="20" w:after="20"/>
              <w:jc w:val="center"/>
              <w:rPr>
                <w:rFonts w:ascii="Arial Negrita" w:eastAsia="Times New Roman" w:hAnsi="Arial Negrita"/>
                <w:b/>
                <w:bCs/>
                <w:color w:val="FFFFFF" w:themeColor="background1"/>
                <w:spacing w:val="-10"/>
                <w:kern w:val="0"/>
                <w:sz w:val="14"/>
                <w:szCs w:val="14"/>
                <w:lang w:eastAsia="es-MX"/>
                <w14:ligatures w14:val="none"/>
              </w:rPr>
            </w:pPr>
            <w:r w:rsidRPr="00DE3330">
              <w:rPr>
                <w:rFonts w:ascii="Arial Negrita" w:eastAsia="Times New Roman" w:hAnsi="Arial Negrita"/>
                <w:b/>
                <w:bCs/>
                <w:color w:val="FFFFFF" w:themeColor="background1"/>
                <w:spacing w:val="-10"/>
                <w:kern w:val="0"/>
                <w:sz w:val="14"/>
                <w:szCs w:val="14"/>
                <w:lang w:eastAsia="es-MX"/>
                <w14:ligatures w14:val="none"/>
              </w:rPr>
              <w:t>% sobre el valor total del Listado nominal</w:t>
            </w:r>
          </w:p>
        </w:tc>
        <w:tc>
          <w:tcPr>
            <w:tcW w:w="723" w:type="pct"/>
            <w:shd w:val="clear" w:color="auto" w:fill="993366"/>
            <w:vAlign w:val="center"/>
          </w:tcPr>
          <w:p w14:paraId="0EBDEC14" w14:textId="77777777" w:rsidR="00E04CFA" w:rsidRPr="00DE3330" w:rsidRDefault="00E04CFA" w:rsidP="00114F89">
            <w:pPr>
              <w:spacing w:before="20" w:after="20"/>
              <w:jc w:val="center"/>
              <w:rPr>
                <w:rFonts w:ascii="Arial Negrita" w:eastAsia="Times New Roman" w:hAnsi="Arial Negrita"/>
                <w:b/>
                <w:bCs/>
                <w:color w:val="FFFFFF" w:themeColor="background1"/>
                <w:spacing w:val="-10"/>
                <w:kern w:val="0"/>
                <w:sz w:val="14"/>
                <w:szCs w:val="14"/>
                <w:lang w:eastAsia="es-MX"/>
                <w14:ligatures w14:val="none"/>
              </w:rPr>
            </w:pPr>
            <w:r w:rsidRPr="00DE3330">
              <w:rPr>
                <w:rFonts w:ascii="Arial Negrita" w:eastAsia="Times New Roman" w:hAnsi="Arial Negrita"/>
                <w:b/>
                <w:bCs/>
                <w:color w:val="FFFFFF" w:themeColor="background1"/>
                <w:spacing w:val="-10"/>
                <w:kern w:val="0"/>
                <w:sz w:val="14"/>
                <w:szCs w:val="14"/>
                <w:lang w:eastAsia="es-MX"/>
                <w14:ligatures w14:val="none"/>
              </w:rPr>
              <w:t>Redistribución del Tope de gastos de campaña de la elección inmediata anterior</w:t>
            </w:r>
          </w:p>
        </w:tc>
        <w:tc>
          <w:tcPr>
            <w:tcW w:w="403" w:type="pct"/>
            <w:shd w:val="clear" w:color="auto" w:fill="993366"/>
            <w:noWrap/>
            <w:vAlign w:val="center"/>
          </w:tcPr>
          <w:p w14:paraId="271675F0" w14:textId="77777777" w:rsidR="00E04CFA" w:rsidRPr="00DE3330" w:rsidRDefault="00E04CFA" w:rsidP="00114F89">
            <w:pPr>
              <w:spacing w:before="20" w:after="20"/>
              <w:jc w:val="center"/>
              <w:rPr>
                <w:rFonts w:ascii="Arial Negrita" w:eastAsia="Times New Roman" w:hAnsi="Arial Negrita"/>
                <w:b/>
                <w:bCs/>
                <w:color w:val="FFFFFF" w:themeColor="background1"/>
                <w:spacing w:val="-10"/>
                <w:kern w:val="0"/>
                <w:sz w:val="14"/>
                <w:szCs w:val="14"/>
                <w:lang w:eastAsia="es-MX"/>
                <w14:ligatures w14:val="none"/>
              </w:rPr>
            </w:pPr>
            <w:r w:rsidRPr="00DE3330">
              <w:rPr>
                <w:rFonts w:ascii="Arial Negrita" w:eastAsia="Times New Roman" w:hAnsi="Arial Negrita"/>
                <w:b/>
                <w:bCs/>
                <w:color w:val="FFFFFF" w:themeColor="background1"/>
                <w:spacing w:val="-10"/>
                <w:kern w:val="0"/>
                <w:sz w:val="14"/>
                <w:szCs w:val="14"/>
                <w:lang w:eastAsia="es-MX"/>
                <w14:ligatures w14:val="none"/>
              </w:rPr>
              <w:t>%</w:t>
            </w:r>
          </w:p>
        </w:tc>
        <w:tc>
          <w:tcPr>
            <w:tcW w:w="826" w:type="pct"/>
            <w:shd w:val="clear" w:color="auto" w:fill="993366"/>
            <w:vAlign w:val="center"/>
          </w:tcPr>
          <w:p w14:paraId="23B73448" w14:textId="77777777" w:rsidR="00E04CFA" w:rsidRPr="00DE3330" w:rsidRDefault="00E04CFA" w:rsidP="00114F89">
            <w:pPr>
              <w:spacing w:before="20" w:after="20"/>
              <w:jc w:val="center"/>
              <w:rPr>
                <w:rFonts w:ascii="Arial Negrita" w:eastAsia="Times New Roman" w:hAnsi="Arial Negrita"/>
                <w:b/>
                <w:bCs/>
                <w:color w:val="FFFFFF" w:themeColor="background1"/>
                <w:spacing w:val="-10"/>
                <w:kern w:val="0"/>
                <w:sz w:val="14"/>
                <w:szCs w:val="14"/>
                <w:lang w:eastAsia="es-MX"/>
                <w14:ligatures w14:val="none"/>
              </w:rPr>
            </w:pPr>
            <w:r w:rsidRPr="00DE3330">
              <w:rPr>
                <w:rFonts w:ascii="Arial Negrita" w:hAnsi="Arial Negrita"/>
                <w:b/>
                <w:bCs/>
                <w:color w:val="FFFFFF" w:themeColor="background1"/>
                <w:spacing w:val="-10"/>
                <w:sz w:val="14"/>
                <w:szCs w:val="14"/>
              </w:rPr>
              <w:t>Límite o tope máximo de gastos de precampaña para la elección a diputaciones locales</w:t>
            </w:r>
          </w:p>
        </w:tc>
      </w:tr>
      <w:tr w:rsidR="00E04CFA" w:rsidRPr="00514A78" w14:paraId="26E9E52A" w14:textId="77777777" w:rsidTr="00114F89">
        <w:trPr>
          <w:trHeight w:val="360"/>
          <w:tblHeader/>
        </w:trPr>
        <w:tc>
          <w:tcPr>
            <w:tcW w:w="1844" w:type="pct"/>
            <w:gridSpan w:val="2"/>
            <w:vMerge/>
            <w:shd w:val="clear" w:color="auto" w:fill="BFBFBF" w:themeFill="background1" w:themeFillShade="BF"/>
            <w:vAlign w:val="center"/>
          </w:tcPr>
          <w:p w14:paraId="0B59E8C8" w14:textId="77777777" w:rsidR="00E04CFA" w:rsidRPr="00514A78" w:rsidRDefault="00E04CFA" w:rsidP="00114F89">
            <w:pPr>
              <w:spacing w:before="20" w:after="20"/>
              <w:rPr>
                <w:rFonts w:eastAsia="Times New Roman"/>
                <w:spacing w:val="-10"/>
                <w:kern w:val="0"/>
                <w:sz w:val="18"/>
                <w:szCs w:val="18"/>
                <w:lang w:eastAsia="es-MX"/>
                <w14:ligatures w14:val="none"/>
              </w:rPr>
            </w:pPr>
          </w:p>
        </w:tc>
        <w:tc>
          <w:tcPr>
            <w:tcW w:w="561" w:type="pct"/>
            <w:shd w:val="clear" w:color="auto" w:fill="BFBFBF" w:themeFill="background1" w:themeFillShade="BF"/>
            <w:vAlign w:val="center"/>
          </w:tcPr>
          <w:p w14:paraId="1343ED3E" w14:textId="77777777" w:rsidR="00E04CFA" w:rsidRPr="00514A78" w:rsidRDefault="00E04CFA" w:rsidP="00114F89">
            <w:pPr>
              <w:spacing w:before="20" w:after="20"/>
              <w:jc w:val="center"/>
              <w:rPr>
                <w:rFonts w:eastAsia="Times New Roman"/>
                <w:b/>
                <w:bCs/>
                <w:spacing w:val="-10"/>
                <w:kern w:val="0"/>
                <w:sz w:val="12"/>
                <w:szCs w:val="12"/>
                <w:lang w:eastAsia="es-MX"/>
                <w14:ligatures w14:val="none"/>
              </w:rPr>
            </w:pPr>
            <w:r w:rsidRPr="00514A78">
              <w:rPr>
                <w:rFonts w:eastAsia="Times New Roman"/>
                <w:b/>
                <w:bCs/>
                <w:spacing w:val="-10"/>
                <w:kern w:val="0"/>
                <w:sz w:val="12"/>
                <w:szCs w:val="12"/>
                <w:lang w:eastAsia="es-MX"/>
                <w14:ligatures w14:val="none"/>
              </w:rPr>
              <w:t>A</w:t>
            </w:r>
          </w:p>
        </w:tc>
        <w:tc>
          <w:tcPr>
            <w:tcW w:w="642" w:type="pct"/>
            <w:shd w:val="clear" w:color="auto" w:fill="BFBFBF" w:themeFill="background1" w:themeFillShade="BF"/>
            <w:vAlign w:val="center"/>
          </w:tcPr>
          <w:p w14:paraId="2FF119EC" w14:textId="77777777" w:rsidR="00E04CFA" w:rsidRPr="00514A78" w:rsidRDefault="00E04CFA" w:rsidP="00114F89">
            <w:pPr>
              <w:spacing w:before="20" w:after="20"/>
              <w:jc w:val="center"/>
              <w:rPr>
                <w:rFonts w:eastAsia="Times New Roman"/>
                <w:b/>
                <w:bCs/>
                <w:spacing w:val="-10"/>
                <w:kern w:val="0"/>
                <w:sz w:val="12"/>
                <w:szCs w:val="12"/>
                <w:lang w:eastAsia="es-MX"/>
                <w14:ligatures w14:val="none"/>
              </w:rPr>
            </w:pPr>
            <w:r w:rsidRPr="00514A78">
              <w:rPr>
                <w:rFonts w:eastAsia="Times New Roman"/>
                <w:b/>
                <w:bCs/>
                <w:spacing w:val="-10"/>
                <w:kern w:val="0"/>
                <w:sz w:val="12"/>
                <w:szCs w:val="12"/>
                <w:lang w:eastAsia="es-MX"/>
                <w14:ligatures w14:val="none"/>
              </w:rPr>
              <w:t>B</w:t>
            </w:r>
          </w:p>
        </w:tc>
        <w:tc>
          <w:tcPr>
            <w:tcW w:w="723" w:type="pct"/>
            <w:shd w:val="clear" w:color="auto" w:fill="BFBFBF" w:themeFill="background1" w:themeFillShade="BF"/>
            <w:vAlign w:val="center"/>
          </w:tcPr>
          <w:p w14:paraId="4F7C47A1" w14:textId="77777777" w:rsidR="00E04CFA" w:rsidRPr="00514A78" w:rsidRDefault="00E04CFA" w:rsidP="00114F89">
            <w:pPr>
              <w:spacing w:before="20" w:after="20"/>
              <w:jc w:val="right"/>
              <w:rPr>
                <w:rFonts w:eastAsia="Times New Roman"/>
                <w:b/>
                <w:bCs/>
                <w:spacing w:val="-10"/>
                <w:kern w:val="0"/>
                <w:sz w:val="12"/>
                <w:szCs w:val="12"/>
                <w:lang w:eastAsia="es-MX"/>
                <w14:ligatures w14:val="none"/>
              </w:rPr>
            </w:pPr>
            <w:r w:rsidRPr="00514A78">
              <w:rPr>
                <w:rFonts w:eastAsia="Times New Roman"/>
                <w:b/>
                <w:bCs/>
                <w:spacing w:val="-10"/>
                <w:kern w:val="0"/>
                <w:sz w:val="12"/>
                <w:szCs w:val="12"/>
                <w:lang w:eastAsia="es-MX"/>
                <w14:ligatures w14:val="none"/>
              </w:rPr>
              <w:t xml:space="preserve">C = B × 7’316,085.98  </w:t>
            </w:r>
          </w:p>
        </w:tc>
        <w:tc>
          <w:tcPr>
            <w:tcW w:w="403" w:type="pct"/>
            <w:shd w:val="clear" w:color="auto" w:fill="BFBFBF" w:themeFill="background1" w:themeFillShade="BF"/>
            <w:noWrap/>
            <w:vAlign w:val="center"/>
          </w:tcPr>
          <w:p w14:paraId="6DD4BD9B" w14:textId="77777777" w:rsidR="00E04CFA" w:rsidRPr="00514A78" w:rsidRDefault="00E04CFA" w:rsidP="00114F89">
            <w:pPr>
              <w:spacing w:before="20" w:after="20"/>
              <w:jc w:val="center"/>
              <w:rPr>
                <w:rFonts w:eastAsia="Times New Roman"/>
                <w:b/>
                <w:bCs/>
                <w:spacing w:val="-10"/>
                <w:kern w:val="0"/>
                <w:sz w:val="12"/>
                <w:szCs w:val="12"/>
                <w:lang w:eastAsia="es-MX"/>
                <w14:ligatures w14:val="none"/>
              </w:rPr>
            </w:pPr>
            <w:r w:rsidRPr="00514A78">
              <w:rPr>
                <w:rFonts w:eastAsia="Times New Roman"/>
                <w:b/>
                <w:bCs/>
                <w:spacing w:val="-10"/>
                <w:kern w:val="0"/>
                <w:sz w:val="12"/>
                <w:szCs w:val="12"/>
                <w:lang w:eastAsia="es-MX"/>
                <w14:ligatures w14:val="none"/>
              </w:rPr>
              <w:t>D</w:t>
            </w:r>
          </w:p>
        </w:tc>
        <w:tc>
          <w:tcPr>
            <w:tcW w:w="826" w:type="pct"/>
            <w:shd w:val="clear" w:color="auto" w:fill="BFBFBF" w:themeFill="background1" w:themeFillShade="BF"/>
            <w:vAlign w:val="center"/>
          </w:tcPr>
          <w:p w14:paraId="157AE683" w14:textId="77777777" w:rsidR="00E04CFA" w:rsidRPr="00514A78" w:rsidRDefault="00E04CFA" w:rsidP="00114F89">
            <w:pPr>
              <w:spacing w:before="20" w:after="20"/>
              <w:jc w:val="center"/>
              <w:rPr>
                <w:rFonts w:eastAsia="Times New Roman"/>
                <w:b/>
                <w:bCs/>
                <w:spacing w:val="-10"/>
                <w:kern w:val="0"/>
                <w:sz w:val="12"/>
                <w:szCs w:val="12"/>
                <w:lang w:eastAsia="es-MX"/>
                <w14:ligatures w14:val="none"/>
              </w:rPr>
            </w:pPr>
            <w:r w:rsidRPr="00514A78">
              <w:rPr>
                <w:rFonts w:eastAsia="Times New Roman"/>
                <w:b/>
                <w:bCs/>
                <w:spacing w:val="-10"/>
                <w:kern w:val="0"/>
                <w:sz w:val="12"/>
                <w:szCs w:val="12"/>
                <w:lang w:eastAsia="es-MX"/>
                <w14:ligatures w14:val="none"/>
              </w:rPr>
              <w:t>E = C × D</w:t>
            </w:r>
          </w:p>
        </w:tc>
      </w:tr>
      <w:tr w:rsidR="00E04CFA" w:rsidRPr="00514A78" w14:paraId="31314F70" w14:textId="77777777" w:rsidTr="00114F89">
        <w:trPr>
          <w:trHeight w:val="360"/>
        </w:trPr>
        <w:tc>
          <w:tcPr>
            <w:tcW w:w="236" w:type="pct"/>
            <w:shd w:val="clear" w:color="auto" w:fill="auto"/>
            <w:vAlign w:val="center"/>
            <w:hideMark/>
          </w:tcPr>
          <w:p w14:paraId="76095139"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w:t>
            </w:r>
          </w:p>
        </w:tc>
        <w:tc>
          <w:tcPr>
            <w:tcW w:w="1609" w:type="pct"/>
            <w:shd w:val="clear" w:color="auto" w:fill="auto"/>
            <w:noWrap/>
            <w:vAlign w:val="center"/>
            <w:hideMark/>
          </w:tcPr>
          <w:p w14:paraId="5E7DF729"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Cárdenas/Huimanguillo</w:t>
            </w:r>
          </w:p>
        </w:tc>
        <w:tc>
          <w:tcPr>
            <w:tcW w:w="561" w:type="pct"/>
            <w:shd w:val="clear" w:color="auto" w:fill="auto"/>
            <w:vAlign w:val="center"/>
            <w:hideMark/>
          </w:tcPr>
          <w:p w14:paraId="217FB8B0"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87,557</w:t>
            </w:r>
          </w:p>
        </w:tc>
        <w:tc>
          <w:tcPr>
            <w:tcW w:w="642" w:type="pct"/>
            <w:shd w:val="clear" w:color="auto" w:fill="auto"/>
            <w:vAlign w:val="center"/>
            <w:hideMark/>
          </w:tcPr>
          <w:p w14:paraId="3BDCF4C8"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4.93%</w:t>
            </w:r>
          </w:p>
        </w:tc>
        <w:tc>
          <w:tcPr>
            <w:tcW w:w="723" w:type="pct"/>
            <w:shd w:val="clear" w:color="auto" w:fill="auto"/>
            <w:vAlign w:val="center"/>
            <w:hideMark/>
          </w:tcPr>
          <w:p w14:paraId="26A76304"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$360,847.63</w:t>
            </w:r>
          </w:p>
        </w:tc>
        <w:tc>
          <w:tcPr>
            <w:tcW w:w="403" w:type="pct"/>
            <w:vMerge w:val="restart"/>
            <w:shd w:val="clear" w:color="auto" w:fill="auto"/>
            <w:noWrap/>
            <w:vAlign w:val="center"/>
            <w:hideMark/>
          </w:tcPr>
          <w:p w14:paraId="7E8E596E" w14:textId="77777777" w:rsidR="00E04CFA" w:rsidRPr="00514A78" w:rsidRDefault="00E04CFA" w:rsidP="00114F89">
            <w:pPr>
              <w:spacing w:before="20" w:after="20"/>
              <w:jc w:val="center"/>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20%</w:t>
            </w:r>
          </w:p>
        </w:tc>
        <w:tc>
          <w:tcPr>
            <w:tcW w:w="826" w:type="pct"/>
            <w:shd w:val="clear" w:color="auto" w:fill="auto"/>
            <w:vAlign w:val="center"/>
            <w:hideMark/>
          </w:tcPr>
          <w:p w14:paraId="3609CE04"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$72,169.53</w:t>
            </w:r>
          </w:p>
        </w:tc>
      </w:tr>
      <w:tr w:rsidR="00E04CFA" w:rsidRPr="00514A78" w14:paraId="51B5C003" w14:textId="77777777" w:rsidTr="00114F89">
        <w:trPr>
          <w:trHeight w:val="315"/>
        </w:trPr>
        <w:tc>
          <w:tcPr>
            <w:tcW w:w="236" w:type="pct"/>
            <w:shd w:val="clear" w:color="auto" w:fill="auto"/>
            <w:vAlign w:val="center"/>
            <w:hideMark/>
          </w:tcPr>
          <w:p w14:paraId="4BC14950"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2</w:t>
            </w:r>
          </w:p>
        </w:tc>
        <w:tc>
          <w:tcPr>
            <w:tcW w:w="1609" w:type="pct"/>
            <w:shd w:val="clear" w:color="auto" w:fill="auto"/>
            <w:noWrap/>
            <w:vAlign w:val="center"/>
            <w:hideMark/>
          </w:tcPr>
          <w:p w14:paraId="512662CB"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Cárdenas</w:t>
            </w:r>
          </w:p>
        </w:tc>
        <w:tc>
          <w:tcPr>
            <w:tcW w:w="561" w:type="pct"/>
            <w:shd w:val="clear" w:color="auto" w:fill="auto"/>
            <w:vAlign w:val="center"/>
            <w:hideMark/>
          </w:tcPr>
          <w:p w14:paraId="48A8F2B1"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75,458</w:t>
            </w:r>
          </w:p>
        </w:tc>
        <w:tc>
          <w:tcPr>
            <w:tcW w:w="642" w:type="pct"/>
            <w:shd w:val="clear" w:color="auto" w:fill="auto"/>
            <w:vAlign w:val="center"/>
            <w:hideMark/>
          </w:tcPr>
          <w:p w14:paraId="14734E30"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4.25%</w:t>
            </w:r>
          </w:p>
        </w:tc>
        <w:tc>
          <w:tcPr>
            <w:tcW w:w="723" w:type="pct"/>
            <w:shd w:val="clear" w:color="auto" w:fill="auto"/>
            <w:vAlign w:val="center"/>
            <w:hideMark/>
          </w:tcPr>
          <w:p w14:paraId="268B51C5"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$310,984.16</w:t>
            </w:r>
          </w:p>
        </w:tc>
        <w:tc>
          <w:tcPr>
            <w:tcW w:w="403" w:type="pct"/>
            <w:vMerge/>
            <w:vAlign w:val="center"/>
            <w:hideMark/>
          </w:tcPr>
          <w:p w14:paraId="49CCAD3C"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4C1EB941"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$62,196.83</w:t>
            </w:r>
          </w:p>
        </w:tc>
      </w:tr>
      <w:tr w:rsidR="00E04CFA" w:rsidRPr="00514A78" w14:paraId="7E8324ED" w14:textId="77777777" w:rsidTr="00114F89">
        <w:trPr>
          <w:trHeight w:val="315"/>
        </w:trPr>
        <w:tc>
          <w:tcPr>
            <w:tcW w:w="236" w:type="pct"/>
            <w:shd w:val="clear" w:color="auto" w:fill="auto"/>
            <w:vAlign w:val="center"/>
            <w:hideMark/>
          </w:tcPr>
          <w:p w14:paraId="44942548"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3</w:t>
            </w:r>
          </w:p>
        </w:tc>
        <w:tc>
          <w:tcPr>
            <w:tcW w:w="1609" w:type="pct"/>
            <w:shd w:val="clear" w:color="auto" w:fill="auto"/>
            <w:noWrap/>
            <w:vAlign w:val="center"/>
            <w:hideMark/>
          </w:tcPr>
          <w:p w14:paraId="02670E1B"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Cárdenas</w:t>
            </w:r>
          </w:p>
        </w:tc>
        <w:tc>
          <w:tcPr>
            <w:tcW w:w="561" w:type="pct"/>
            <w:shd w:val="clear" w:color="auto" w:fill="auto"/>
            <w:vAlign w:val="center"/>
            <w:hideMark/>
          </w:tcPr>
          <w:p w14:paraId="4694D835"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74,964</w:t>
            </w:r>
          </w:p>
        </w:tc>
        <w:tc>
          <w:tcPr>
            <w:tcW w:w="642" w:type="pct"/>
            <w:shd w:val="clear" w:color="auto" w:fill="auto"/>
            <w:vAlign w:val="center"/>
            <w:hideMark/>
          </w:tcPr>
          <w:p w14:paraId="57373E26"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4.22%</w:t>
            </w:r>
          </w:p>
        </w:tc>
        <w:tc>
          <w:tcPr>
            <w:tcW w:w="723" w:type="pct"/>
            <w:shd w:val="clear" w:color="auto" w:fill="auto"/>
            <w:vAlign w:val="center"/>
            <w:hideMark/>
          </w:tcPr>
          <w:p w14:paraId="7D5820ED"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$308,948.24</w:t>
            </w:r>
          </w:p>
        </w:tc>
        <w:tc>
          <w:tcPr>
            <w:tcW w:w="403" w:type="pct"/>
            <w:vMerge/>
            <w:vAlign w:val="center"/>
            <w:hideMark/>
          </w:tcPr>
          <w:p w14:paraId="38F41E3B"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08389A46"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$61,789.65</w:t>
            </w:r>
          </w:p>
        </w:tc>
      </w:tr>
      <w:tr w:rsidR="00E04CFA" w:rsidRPr="00514A78" w14:paraId="6B807506" w14:textId="77777777" w:rsidTr="00114F89">
        <w:trPr>
          <w:trHeight w:val="315"/>
        </w:trPr>
        <w:tc>
          <w:tcPr>
            <w:tcW w:w="236" w:type="pct"/>
            <w:shd w:val="clear" w:color="auto" w:fill="auto"/>
            <w:vAlign w:val="center"/>
            <w:hideMark/>
          </w:tcPr>
          <w:p w14:paraId="082C8C77"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4</w:t>
            </w:r>
          </w:p>
        </w:tc>
        <w:tc>
          <w:tcPr>
            <w:tcW w:w="1609" w:type="pct"/>
            <w:shd w:val="clear" w:color="auto" w:fill="auto"/>
            <w:noWrap/>
            <w:vAlign w:val="center"/>
            <w:hideMark/>
          </w:tcPr>
          <w:p w14:paraId="30156827"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Centla</w:t>
            </w:r>
          </w:p>
        </w:tc>
        <w:tc>
          <w:tcPr>
            <w:tcW w:w="561" w:type="pct"/>
            <w:shd w:val="clear" w:color="auto" w:fill="auto"/>
            <w:vAlign w:val="center"/>
            <w:hideMark/>
          </w:tcPr>
          <w:p w14:paraId="40497F7A"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77,764</w:t>
            </w:r>
          </w:p>
        </w:tc>
        <w:tc>
          <w:tcPr>
            <w:tcW w:w="642" w:type="pct"/>
            <w:shd w:val="clear" w:color="auto" w:fill="auto"/>
            <w:vAlign w:val="center"/>
            <w:hideMark/>
          </w:tcPr>
          <w:p w14:paraId="5EAC46F5"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4.38%</w:t>
            </w:r>
          </w:p>
        </w:tc>
        <w:tc>
          <w:tcPr>
            <w:tcW w:w="723" w:type="pct"/>
            <w:shd w:val="clear" w:color="auto" w:fill="auto"/>
            <w:vAlign w:val="center"/>
            <w:hideMark/>
          </w:tcPr>
          <w:p w14:paraId="122B0477"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$320,487.85</w:t>
            </w:r>
          </w:p>
        </w:tc>
        <w:tc>
          <w:tcPr>
            <w:tcW w:w="403" w:type="pct"/>
            <w:vMerge/>
            <w:vAlign w:val="center"/>
            <w:hideMark/>
          </w:tcPr>
          <w:p w14:paraId="17570C72"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01852245"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$64,097.57</w:t>
            </w:r>
          </w:p>
        </w:tc>
      </w:tr>
      <w:tr w:rsidR="00E04CFA" w:rsidRPr="00514A78" w14:paraId="13D62C40" w14:textId="77777777" w:rsidTr="00114F89">
        <w:trPr>
          <w:trHeight w:val="315"/>
        </w:trPr>
        <w:tc>
          <w:tcPr>
            <w:tcW w:w="236" w:type="pct"/>
            <w:shd w:val="clear" w:color="auto" w:fill="auto"/>
            <w:vAlign w:val="center"/>
            <w:hideMark/>
          </w:tcPr>
          <w:p w14:paraId="3A165DB8"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5</w:t>
            </w:r>
          </w:p>
        </w:tc>
        <w:tc>
          <w:tcPr>
            <w:tcW w:w="1609" w:type="pct"/>
            <w:shd w:val="clear" w:color="auto" w:fill="auto"/>
            <w:noWrap/>
            <w:vAlign w:val="center"/>
            <w:hideMark/>
          </w:tcPr>
          <w:p w14:paraId="07162880"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Centro</w:t>
            </w:r>
          </w:p>
        </w:tc>
        <w:tc>
          <w:tcPr>
            <w:tcW w:w="561" w:type="pct"/>
            <w:shd w:val="clear" w:color="auto" w:fill="auto"/>
            <w:vAlign w:val="center"/>
            <w:hideMark/>
          </w:tcPr>
          <w:p w14:paraId="781C6301"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85,314</w:t>
            </w:r>
          </w:p>
        </w:tc>
        <w:tc>
          <w:tcPr>
            <w:tcW w:w="642" w:type="pct"/>
            <w:shd w:val="clear" w:color="auto" w:fill="auto"/>
            <w:vAlign w:val="center"/>
            <w:hideMark/>
          </w:tcPr>
          <w:p w14:paraId="740F1984"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4.81%</w:t>
            </w:r>
          </w:p>
        </w:tc>
        <w:tc>
          <w:tcPr>
            <w:tcW w:w="723" w:type="pct"/>
            <w:shd w:val="clear" w:color="auto" w:fill="auto"/>
            <w:vAlign w:val="center"/>
            <w:hideMark/>
          </w:tcPr>
          <w:p w14:paraId="0252DC69"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$351,603.58</w:t>
            </w:r>
          </w:p>
        </w:tc>
        <w:tc>
          <w:tcPr>
            <w:tcW w:w="403" w:type="pct"/>
            <w:vMerge/>
            <w:vAlign w:val="center"/>
            <w:hideMark/>
          </w:tcPr>
          <w:p w14:paraId="3FDE5A92"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5045763F"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$70,320.72</w:t>
            </w:r>
          </w:p>
        </w:tc>
      </w:tr>
      <w:tr w:rsidR="00E04CFA" w:rsidRPr="00514A78" w14:paraId="4868224E" w14:textId="77777777" w:rsidTr="00114F89">
        <w:trPr>
          <w:trHeight w:val="315"/>
        </w:trPr>
        <w:tc>
          <w:tcPr>
            <w:tcW w:w="236" w:type="pct"/>
            <w:shd w:val="clear" w:color="auto" w:fill="auto"/>
            <w:vAlign w:val="center"/>
            <w:hideMark/>
          </w:tcPr>
          <w:p w14:paraId="1A6C532B"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6</w:t>
            </w:r>
          </w:p>
        </w:tc>
        <w:tc>
          <w:tcPr>
            <w:tcW w:w="1609" w:type="pct"/>
            <w:shd w:val="clear" w:color="auto" w:fill="auto"/>
            <w:noWrap/>
            <w:vAlign w:val="center"/>
            <w:hideMark/>
          </w:tcPr>
          <w:p w14:paraId="48BF49C6"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Centro</w:t>
            </w:r>
          </w:p>
        </w:tc>
        <w:tc>
          <w:tcPr>
            <w:tcW w:w="561" w:type="pct"/>
            <w:shd w:val="clear" w:color="auto" w:fill="auto"/>
            <w:vAlign w:val="center"/>
            <w:hideMark/>
          </w:tcPr>
          <w:p w14:paraId="6D7E10C3"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83,864</w:t>
            </w:r>
          </w:p>
        </w:tc>
        <w:tc>
          <w:tcPr>
            <w:tcW w:w="642" w:type="pct"/>
            <w:shd w:val="clear" w:color="auto" w:fill="auto"/>
            <w:vAlign w:val="center"/>
            <w:hideMark/>
          </w:tcPr>
          <w:p w14:paraId="1855EEE5"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4.72%</w:t>
            </w:r>
          </w:p>
        </w:tc>
        <w:tc>
          <w:tcPr>
            <w:tcW w:w="723" w:type="pct"/>
            <w:shd w:val="clear" w:color="auto" w:fill="auto"/>
            <w:vAlign w:val="center"/>
            <w:hideMark/>
          </w:tcPr>
          <w:p w14:paraId="33BA89F4"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$345,627.71</w:t>
            </w:r>
          </w:p>
        </w:tc>
        <w:tc>
          <w:tcPr>
            <w:tcW w:w="403" w:type="pct"/>
            <w:vMerge/>
            <w:vAlign w:val="center"/>
            <w:hideMark/>
          </w:tcPr>
          <w:p w14:paraId="164B296A"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5C807DD4"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$69,125.54</w:t>
            </w:r>
          </w:p>
        </w:tc>
      </w:tr>
      <w:tr w:rsidR="00E04CFA" w:rsidRPr="00514A78" w14:paraId="16545BCB" w14:textId="77777777" w:rsidTr="00114F89">
        <w:trPr>
          <w:trHeight w:val="315"/>
        </w:trPr>
        <w:tc>
          <w:tcPr>
            <w:tcW w:w="236" w:type="pct"/>
            <w:shd w:val="clear" w:color="auto" w:fill="auto"/>
            <w:vAlign w:val="center"/>
            <w:hideMark/>
          </w:tcPr>
          <w:p w14:paraId="5DF8E094"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7</w:t>
            </w:r>
          </w:p>
        </w:tc>
        <w:tc>
          <w:tcPr>
            <w:tcW w:w="1609" w:type="pct"/>
            <w:shd w:val="clear" w:color="auto" w:fill="auto"/>
            <w:noWrap/>
            <w:vAlign w:val="center"/>
            <w:hideMark/>
          </w:tcPr>
          <w:p w14:paraId="2FCC6A3A"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Centro</w:t>
            </w:r>
          </w:p>
        </w:tc>
        <w:tc>
          <w:tcPr>
            <w:tcW w:w="561" w:type="pct"/>
            <w:shd w:val="clear" w:color="auto" w:fill="auto"/>
            <w:vAlign w:val="center"/>
            <w:hideMark/>
          </w:tcPr>
          <w:p w14:paraId="50141274"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87,830</w:t>
            </w:r>
          </w:p>
        </w:tc>
        <w:tc>
          <w:tcPr>
            <w:tcW w:w="642" w:type="pct"/>
            <w:shd w:val="clear" w:color="auto" w:fill="auto"/>
            <w:vAlign w:val="center"/>
            <w:hideMark/>
          </w:tcPr>
          <w:p w14:paraId="2D14CEBF"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4.95%</w:t>
            </w:r>
          </w:p>
        </w:tc>
        <w:tc>
          <w:tcPr>
            <w:tcW w:w="723" w:type="pct"/>
            <w:shd w:val="clear" w:color="auto" w:fill="auto"/>
            <w:vAlign w:val="center"/>
            <w:hideMark/>
          </w:tcPr>
          <w:p w14:paraId="124C50BA"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$361,972.74</w:t>
            </w:r>
          </w:p>
        </w:tc>
        <w:tc>
          <w:tcPr>
            <w:tcW w:w="403" w:type="pct"/>
            <w:vMerge/>
            <w:vAlign w:val="center"/>
            <w:hideMark/>
          </w:tcPr>
          <w:p w14:paraId="14C1B329"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6602D939"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$72,394.55</w:t>
            </w:r>
          </w:p>
        </w:tc>
      </w:tr>
      <w:tr w:rsidR="00E04CFA" w:rsidRPr="00514A78" w14:paraId="7D134F27" w14:textId="77777777" w:rsidTr="00114F89">
        <w:trPr>
          <w:trHeight w:val="315"/>
        </w:trPr>
        <w:tc>
          <w:tcPr>
            <w:tcW w:w="236" w:type="pct"/>
            <w:shd w:val="clear" w:color="auto" w:fill="auto"/>
            <w:vAlign w:val="center"/>
            <w:hideMark/>
          </w:tcPr>
          <w:p w14:paraId="3D52266E"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8</w:t>
            </w:r>
          </w:p>
        </w:tc>
        <w:tc>
          <w:tcPr>
            <w:tcW w:w="1609" w:type="pct"/>
            <w:shd w:val="clear" w:color="auto" w:fill="auto"/>
            <w:noWrap/>
            <w:vAlign w:val="center"/>
            <w:hideMark/>
          </w:tcPr>
          <w:p w14:paraId="13991FD5"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Centro</w:t>
            </w:r>
          </w:p>
        </w:tc>
        <w:tc>
          <w:tcPr>
            <w:tcW w:w="561" w:type="pct"/>
            <w:shd w:val="clear" w:color="auto" w:fill="auto"/>
            <w:vAlign w:val="center"/>
            <w:hideMark/>
          </w:tcPr>
          <w:p w14:paraId="7466E7FF"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87,135</w:t>
            </w:r>
          </w:p>
        </w:tc>
        <w:tc>
          <w:tcPr>
            <w:tcW w:w="642" w:type="pct"/>
            <w:shd w:val="clear" w:color="auto" w:fill="auto"/>
            <w:vAlign w:val="center"/>
            <w:hideMark/>
          </w:tcPr>
          <w:p w14:paraId="2ADF15A1"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4.91%</w:t>
            </w:r>
          </w:p>
        </w:tc>
        <w:tc>
          <w:tcPr>
            <w:tcW w:w="723" w:type="pct"/>
            <w:shd w:val="clear" w:color="auto" w:fill="auto"/>
            <w:vAlign w:val="center"/>
            <w:hideMark/>
          </w:tcPr>
          <w:p w14:paraId="4B4D7BDB"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$359,108.44</w:t>
            </w:r>
          </w:p>
        </w:tc>
        <w:tc>
          <w:tcPr>
            <w:tcW w:w="403" w:type="pct"/>
            <w:vMerge/>
            <w:vAlign w:val="center"/>
            <w:hideMark/>
          </w:tcPr>
          <w:p w14:paraId="76956D80"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5D96CBBF"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$71,821.69</w:t>
            </w:r>
          </w:p>
        </w:tc>
      </w:tr>
      <w:tr w:rsidR="00E04CFA" w:rsidRPr="00514A78" w14:paraId="7FC6BF08" w14:textId="77777777" w:rsidTr="00114F89">
        <w:trPr>
          <w:trHeight w:val="315"/>
        </w:trPr>
        <w:tc>
          <w:tcPr>
            <w:tcW w:w="236" w:type="pct"/>
            <w:shd w:val="clear" w:color="auto" w:fill="auto"/>
            <w:vAlign w:val="center"/>
            <w:hideMark/>
          </w:tcPr>
          <w:p w14:paraId="68D0732B"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9</w:t>
            </w:r>
          </w:p>
        </w:tc>
        <w:tc>
          <w:tcPr>
            <w:tcW w:w="1609" w:type="pct"/>
            <w:shd w:val="clear" w:color="auto" w:fill="auto"/>
            <w:noWrap/>
            <w:vAlign w:val="center"/>
            <w:hideMark/>
          </w:tcPr>
          <w:p w14:paraId="1FDF16F5"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Centro</w:t>
            </w:r>
          </w:p>
        </w:tc>
        <w:tc>
          <w:tcPr>
            <w:tcW w:w="561" w:type="pct"/>
            <w:shd w:val="clear" w:color="auto" w:fill="auto"/>
            <w:vAlign w:val="center"/>
            <w:hideMark/>
          </w:tcPr>
          <w:p w14:paraId="4C8082C7"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95,936</w:t>
            </w:r>
          </w:p>
        </w:tc>
        <w:tc>
          <w:tcPr>
            <w:tcW w:w="642" w:type="pct"/>
            <w:shd w:val="clear" w:color="auto" w:fill="auto"/>
            <w:vAlign w:val="center"/>
            <w:hideMark/>
          </w:tcPr>
          <w:p w14:paraId="7925FAF5"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5.40%</w:t>
            </w:r>
          </w:p>
        </w:tc>
        <w:tc>
          <w:tcPr>
            <w:tcW w:w="723" w:type="pct"/>
            <w:shd w:val="clear" w:color="auto" w:fill="auto"/>
            <w:vAlign w:val="center"/>
            <w:hideMark/>
          </w:tcPr>
          <w:p w14:paraId="41199412"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$395,379.90</w:t>
            </w:r>
          </w:p>
        </w:tc>
        <w:tc>
          <w:tcPr>
            <w:tcW w:w="403" w:type="pct"/>
            <w:vMerge/>
            <w:vAlign w:val="center"/>
            <w:hideMark/>
          </w:tcPr>
          <w:p w14:paraId="0D52552D"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2A9A62A3"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$79,075.98</w:t>
            </w:r>
          </w:p>
        </w:tc>
      </w:tr>
      <w:tr w:rsidR="00E04CFA" w:rsidRPr="00514A78" w14:paraId="11919274" w14:textId="77777777" w:rsidTr="00114F89">
        <w:trPr>
          <w:trHeight w:val="315"/>
        </w:trPr>
        <w:tc>
          <w:tcPr>
            <w:tcW w:w="236" w:type="pct"/>
            <w:shd w:val="clear" w:color="auto" w:fill="auto"/>
            <w:vAlign w:val="center"/>
            <w:hideMark/>
          </w:tcPr>
          <w:p w14:paraId="069BA27A"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10</w:t>
            </w:r>
          </w:p>
        </w:tc>
        <w:tc>
          <w:tcPr>
            <w:tcW w:w="1609" w:type="pct"/>
            <w:shd w:val="clear" w:color="auto" w:fill="auto"/>
            <w:noWrap/>
            <w:vAlign w:val="center"/>
            <w:hideMark/>
          </w:tcPr>
          <w:p w14:paraId="1BB4CC82"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Centro</w:t>
            </w:r>
          </w:p>
        </w:tc>
        <w:tc>
          <w:tcPr>
            <w:tcW w:w="561" w:type="pct"/>
            <w:shd w:val="clear" w:color="auto" w:fill="auto"/>
            <w:vAlign w:val="center"/>
            <w:hideMark/>
          </w:tcPr>
          <w:p w14:paraId="021654D2"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79,119</w:t>
            </w:r>
          </w:p>
        </w:tc>
        <w:tc>
          <w:tcPr>
            <w:tcW w:w="642" w:type="pct"/>
            <w:shd w:val="clear" w:color="auto" w:fill="auto"/>
            <w:vAlign w:val="center"/>
            <w:hideMark/>
          </w:tcPr>
          <w:p w14:paraId="2DC0BB9B"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4.46%</w:t>
            </w:r>
          </w:p>
        </w:tc>
        <w:tc>
          <w:tcPr>
            <w:tcW w:w="723" w:type="pct"/>
            <w:shd w:val="clear" w:color="auto" w:fill="auto"/>
            <w:vAlign w:val="center"/>
            <w:hideMark/>
          </w:tcPr>
          <w:p w14:paraId="55E9EF71"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$326,072.20</w:t>
            </w:r>
          </w:p>
        </w:tc>
        <w:tc>
          <w:tcPr>
            <w:tcW w:w="403" w:type="pct"/>
            <w:vMerge/>
            <w:vAlign w:val="center"/>
            <w:hideMark/>
          </w:tcPr>
          <w:p w14:paraId="0A93B37F"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5F59C2C3"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$65,214.44</w:t>
            </w:r>
          </w:p>
        </w:tc>
      </w:tr>
      <w:tr w:rsidR="00E04CFA" w:rsidRPr="00514A78" w14:paraId="17B62C4A" w14:textId="77777777" w:rsidTr="00114F89">
        <w:trPr>
          <w:trHeight w:val="266"/>
        </w:trPr>
        <w:tc>
          <w:tcPr>
            <w:tcW w:w="236" w:type="pct"/>
            <w:shd w:val="clear" w:color="auto" w:fill="auto"/>
            <w:vAlign w:val="center"/>
            <w:hideMark/>
          </w:tcPr>
          <w:p w14:paraId="18AC16ED"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11</w:t>
            </w:r>
          </w:p>
        </w:tc>
        <w:tc>
          <w:tcPr>
            <w:tcW w:w="1609" w:type="pct"/>
            <w:shd w:val="clear" w:color="auto" w:fill="auto"/>
            <w:noWrap/>
            <w:vAlign w:val="center"/>
            <w:hideMark/>
          </w:tcPr>
          <w:p w14:paraId="1CF85113"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Comalcalco/Cunduacán</w:t>
            </w:r>
          </w:p>
        </w:tc>
        <w:tc>
          <w:tcPr>
            <w:tcW w:w="561" w:type="pct"/>
            <w:shd w:val="clear" w:color="auto" w:fill="auto"/>
            <w:vAlign w:val="center"/>
            <w:hideMark/>
          </w:tcPr>
          <w:p w14:paraId="7D4B0A9C"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78,465</w:t>
            </w:r>
          </w:p>
        </w:tc>
        <w:tc>
          <w:tcPr>
            <w:tcW w:w="642" w:type="pct"/>
            <w:shd w:val="clear" w:color="auto" w:fill="auto"/>
            <w:vAlign w:val="center"/>
            <w:hideMark/>
          </w:tcPr>
          <w:p w14:paraId="42E2F22A"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4.42%</w:t>
            </w:r>
          </w:p>
        </w:tc>
        <w:tc>
          <w:tcPr>
            <w:tcW w:w="723" w:type="pct"/>
            <w:shd w:val="clear" w:color="auto" w:fill="auto"/>
            <w:vAlign w:val="center"/>
            <w:hideMark/>
          </w:tcPr>
          <w:p w14:paraId="177119E4"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$323,376.87</w:t>
            </w:r>
          </w:p>
        </w:tc>
        <w:tc>
          <w:tcPr>
            <w:tcW w:w="403" w:type="pct"/>
            <w:vMerge/>
            <w:vAlign w:val="center"/>
            <w:hideMark/>
          </w:tcPr>
          <w:p w14:paraId="68FAF121"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7E016CC1"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$64,675.37</w:t>
            </w:r>
          </w:p>
        </w:tc>
      </w:tr>
      <w:tr w:rsidR="00E04CFA" w:rsidRPr="00514A78" w14:paraId="6EA3E204" w14:textId="77777777" w:rsidTr="00114F89">
        <w:trPr>
          <w:trHeight w:val="315"/>
        </w:trPr>
        <w:tc>
          <w:tcPr>
            <w:tcW w:w="236" w:type="pct"/>
            <w:shd w:val="clear" w:color="auto" w:fill="auto"/>
            <w:vAlign w:val="center"/>
            <w:hideMark/>
          </w:tcPr>
          <w:p w14:paraId="42CDD63E"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12</w:t>
            </w:r>
          </w:p>
        </w:tc>
        <w:tc>
          <w:tcPr>
            <w:tcW w:w="1609" w:type="pct"/>
            <w:shd w:val="clear" w:color="auto" w:fill="auto"/>
            <w:noWrap/>
            <w:vAlign w:val="center"/>
            <w:hideMark/>
          </w:tcPr>
          <w:p w14:paraId="6DA0EDAD"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Comalcalco</w:t>
            </w:r>
          </w:p>
        </w:tc>
        <w:tc>
          <w:tcPr>
            <w:tcW w:w="561" w:type="pct"/>
            <w:shd w:val="clear" w:color="auto" w:fill="auto"/>
            <w:vAlign w:val="center"/>
            <w:hideMark/>
          </w:tcPr>
          <w:p w14:paraId="51CAE7EE"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82,137</w:t>
            </w:r>
          </w:p>
        </w:tc>
        <w:tc>
          <w:tcPr>
            <w:tcW w:w="642" w:type="pct"/>
            <w:shd w:val="clear" w:color="auto" w:fill="auto"/>
            <w:vAlign w:val="center"/>
            <w:hideMark/>
          </w:tcPr>
          <w:p w14:paraId="70306675"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4.63%</w:t>
            </w:r>
          </w:p>
        </w:tc>
        <w:tc>
          <w:tcPr>
            <w:tcW w:w="723" w:type="pct"/>
            <w:shd w:val="clear" w:color="auto" w:fill="auto"/>
            <w:vAlign w:val="center"/>
            <w:hideMark/>
          </w:tcPr>
          <w:p w14:paraId="0BD77DE9"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$338,510.24</w:t>
            </w:r>
          </w:p>
        </w:tc>
        <w:tc>
          <w:tcPr>
            <w:tcW w:w="403" w:type="pct"/>
            <w:vMerge/>
            <w:vAlign w:val="center"/>
            <w:hideMark/>
          </w:tcPr>
          <w:p w14:paraId="6505FA3B"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315D982E"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$67,702.05</w:t>
            </w:r>
          </w:p>
        </w:tc>
      </w:tr>
      <w:tr w:rsidR="00E04CFA" w:rsidRPr="00514A78" w14:paraId="1F08853C" w14:textId="77777777" w:rsidTr="00114F89">
        <w:trPr>
          <w:trHeight w:val="315"/>
        </w:trPr>
        <w:tc>
          <w:tcPr>
            <w:tcW w:w="236" w:type="pct"/>
            <w:shd w:val="clear" w:color="auto" w:fill="auto"/>
            <w:vAlign w:val="center"/>
            <w:hideMark/>
          </w:tcPr>
          <w:p w14:paraId="2022B455"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13</w:t>
            </w:r>
          </w:p>
        </w:tc>
        <w:tc>
          <w:tcPr>
            <w:tcW w:w="1609" w:type="pct"/>
            <w:shd w:val="clear" w:color="auto" w:fill="auto"/>
            <w:noWrap/>
            <w:vAlign w:val="center"/>
            <w:hideMark/>
          </w:tcPr>
          <w:p w14:paraId="6E6CE489"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Cunduacán</w:t>
            </w:r>
          </w:p>
        </w:tc>
        <w:tc>
          <w:tcPr>
            <w:tcW w:w="561" w:type="pct"/>
            <w:shd w:val="clear" w:color="auto" w:fill="auto"/>
            <w:vAlign w:val="center"/>
            <w:hideMark/>
          </w:tcPr>
          <w:p w14:paraId="62885CCB"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84,092</w:t>
            </w:r>
          </w:p>
        </w:tc>
        <w:tc>
          <w:tcPr>
            <w:tcW w:w="642" w:type="pct"/>
            <w:shd w:val="clear" w:color="auto" w:fill="auto"/>
            <w:vAlign w:val="center"/>
            <w:hideMark/>
          </w:tcPr>
          <w:p w14:paraId="245CCFDC"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4.74%</w:t>
            </w:r>
          </w:p>
        </w:tc>
        <w:tc>
          <w:tcPr>
            <w:tcW w:w="723" w:type="pct"/>
            <w:shd w:val="clear" w:color="auto" w:fill="auto"/>
            <w:vAlign w:val="center"/>
            <w:hideMark/>
          </w:tcPr>
          <w:p w14:paraId="179EE4EB"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$346,567.36</w:t>
            </w:r>
          </w:p>
        </w:tc>
        <w:tc>
          <w:tcPr>
            <w:tcW w:w="403" w:type="pct"/>
            <w:vMerge/>
            <w:vAlign w:val="center"/>
            <w:hideMark/>
          </w:tcPr>
          <w:p w14:paraId="45C0D57A"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11CA7573"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$69,313.47</w:t>
            </w:r>
          </w:p>
        </w:tc>
      </w:tr>
      <w:tr w:rsidR="00E04CFA" w:rsidRPr="00514A78" w14:paraId="1C448CB3" w14:textId="77777777" w:rsidTr="00114F89">
        <w:trPr>
          <w:trHeight w:val="294"/>
        </w:trPr>
        <w:tc>
          <w:tcPr>
            <w:tcW w:w="236" w:type="pct"/>
            <w:shd w:val="clear" w:color="auto" w:fill="auto"/>
            <w:vAlign w:val="center"/>
            <w:hideMark/>
          </w:tcPr>
          <w:p w14:paraId="24EC1B13"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14</w:t>
            </w:r>
          </w:p>
        </w:tc>
        <w:tc>
          <w:tcPr>
            <w:tcW w:w="1609" w:type="pct"/>
            <w:shd w:val="clear" w:color="auto" w:fill="auto"/>
            <w:noWrap/>
            <w:vAlign w:val="center"/>
            <w:hideMark/>
          </w:tcPr>
          <w:p w14:paraId="10D77E4C"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 xml:space="preserve">Emiliano Zapata, </w:t>
            </w:r>
            <w:proofErr w:type="spellStart"/>
            <w:r w:rsidRPr="00514A78">
              <w:rPr>
                <w:rFonts w:eastAsia="Times New Roman"/>
                <w:spacing w:val="-10"/>
                <w:kern w:val="0"/>
                <w:sz w:val="18"/>
                <w:szCs w:val="18"/>
                <w:lang w:eastAsia="es-MX"/>
                <w14:ligatures w14:val="none"/>
              </w:rPr>
              <w:t>Jonuta</w:t>
            </w:r>
            <w:proofErr w:type="spellEnd"/>
            <w:r w:rsidRPr="00514A78">
              <w:rPr>
                <w:rFonts w:eastAsia="Times New Roman"/>
                <w:spacing w:val="-10"/>
                <w:kern w:val="0"/>
                <w:sz w:val="18"/>
                <w:szCs w:val="18"/>
                <w:lang w:eastAsia="es-MX"/>
                <w14:ligatures w14:val="none"/>
              </w:rPr>
              <w:t>, Macuspana</w:t>
            </w:r>
          </w:p>
        </w:tc>
        <w:tc>
          <w:tcPr>
            <w:tcW w:w="561" w:type="pct"/>
            <w:shd w:val="clear" w:color="auto" w:fill="auto"/>
            <w:vAlign w:val="center"/>
            <w:hideMark/>
          </w:tcPr>
          <w:p w14:paraId="3614EDA5"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97,347</w:t>
            </w:r>
          </w:p>
        </w:tc>
        <w:tc>
          <w:tcPr>
            <w:tcW w:w="642" w:type="pct"/>
            <w:shd w:val="clear" w:color="auto" w:fill="auto"/>
            <w:vAlign w:val="center"/>
            <w:hideMark/>
          </w:tcPr>
          <w:p w14:paraId="5BEDAA15"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5.48%</w:t>
            </w:r>
          </w:p>
        </w:tc>
        <w:tc>
          <w:tcPr>
            <w:tcW w:w="723" w:type="pct"/>
            <w:shd w:val="clear" w:color="auto" w:fill="auto"/>
            <w:vAlign w:val="center"/>
            <w:hideMark/>
          </w:tcPr>
          <w:p w14:paraId="47A2CAFC"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$401,195.04</w:t>
            </w:r>
          </w:p>
        </w:tc>
        <w:tc>
          <w:tcPr>
            <w:tcW w:w="403" w:type="pct"/>
            <w:vMerge/>
            <w:vAlign w:val="center"/>
            <w:hideMark/>
          </w:tcPr>
          <w:p w14:paraId="4B51F9D7"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22EA9435"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$80,239.01</w:t>
            </w:r>
          </w:p>
        </w:tc>
      </w:tr>
      <w:tr w:rsidR="00E04CFA" w:rsidRPr="00514A78" w14:paraId="29A048FD" w14:textId="77777777" w:rsidTr="00114F89">
        <w:trPr>
          <w:trHeight w:val="260"/>
        </w:trPr>
        <w:tc>
          <w:tcPr>
            <w:tcW w:w="236" w:type="pct"/>
            <w:shd w:val="clear" w:color="auto" w:fill="auto"/>
            <w:vAlign w:val="center"/>
            <w:hideMark/>
          </w:tcPr>
          <w:p w14:paraId="0CD66188"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15</w:t>
            </w:r>
          </w:p>
        </w:tc>
        <w:tc>
          <w:tcPr>
            <w:tcW w:w="1609" w:type="pct"/>
            <w:shd w:val="clear" w:color="auto" w:fill="auto"/>
            <w:noWrap/>
            <w:vAlign w:val="center"/>
            <w:hideMark/>
          </w:tcPr>
          <w:p w14:paraId="17686238"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 xml:space="preserve">Huimanguillo </w:t>
            </w:r>
          </w:p>
        </w:tc>
        <w:tc>
          <w:tcPr>
            <w:tcW w:w="561" w:type="pct"/>
            <w:shd w:val="clear" w:color="auto" w:fill="auto"/>
            <w:vAlign w:val="center"/>
            <w:hideMark/>
          </w:tcPr>
          <w:p w14:paraId="1A8CC095"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76,061</w:t>
            </w:r>
          </w:p>
        </w:tc>
        <w:tc>
          <w:tcPr>
            <w:tcW w:w="642" w:type="pct"/>
            <w:shd w:val="clear" w:color="auto" w:fill="auto"/>
            <w:vAlign w:val="center"/>
            <w:hideMark/>
          </w:tcPr>
          <w:p w14:paraId="24C4DD7C"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4.28%</w:t>
            </w:r>
          </w:p>
        </w:tc>
        <w:tc>
          <w:tcPr>
            <w:tcW w:w="723" w:type="pct"/>
            <w:shd w:val="clear" w:color="auto" w:fill="auto"/>
            <w:vAlign w:val="center"/>
            <w:hideMark/>
          </w:tcPr>
          <w:p w14:paraId="2F71B138"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$313,469.30</w:t>
            </w:r>
          </w:p>
        </w:tc>
        <w:tc>
          <w:tcPr>
            <w:tcW w:w="403" w:type="pct"/>
            <w:vMerge/>
            <w:vAlign w:val="center"/>
            <w:hideMark/>
          </w:tcPr>
          <w:p w14:paraId="37A87CA6"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55C2B4D6"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$62,693.86</w:t>
            </w:r>
          </w:p>
        </w:tc>
      </w:tr>
      <w:tr w:rsidR="00E04CFA" w:rsidRPr="00514A78" w14:paraId="34E08AEC" w14:textId="77777777" w:rsidTr="00114F89">
        <w:trPr>
          <w:trHeight w:val="264"/>
        </w:trPr>
        <w:tc>
          <w:tcPr>
            <w:tcW w:w="236" w:type="pct"/>
            <w:shd w:val="clear" w:color="auto" w:fill="auto"/>
            <w:vAlign w:val="center"/>
            <w:hideMark/>
          </w:tcPr>
          <w:p w14:paraId="051CE42F"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16</w:t>
            </w:r>
          </w:p>
        </w:tc>
        <w:tc>
          <w:tcPr>
            <w:tcW w:w="1609" w:type="pct"/>
            <w:shd w:val="clear" w:color="auto" w:fill="auto"/>
            <w:noWrap/>
            <w:vAlign w:val="center"/>
            <w:hideMark/>
          </w:tcPr>
          <w:p w14:paraId="406AA37C"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Macuspana, Jalapa</w:t>
            </w:r>
          </w:p>
        </w:tc>
        <w:tc>
          <w:tcPr>
            <w:tcW w:w="561" w:type="pct"/>
            <w:shd w:val="clear" w:color="auto" w:fill="auto"/>
            <w:vAlign w:val="center"/>
            <w:hideMark/>
          </w:tcPr>
          <w:p w14:paraId="560E9FAA"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99,057</w:t>
            </w:r>
          </w:p>
        </w:tc>
        <w:tc>
          <w:tcPr>
            <w:tcW w:w="642" w:type="pct"/>
            <w:shd w:val="clear" w:color="auto" w:fill="auto"/>
            <w:vAlign w:val="center"/>
            <w:hideMark/>
          </w:tcPr>
          <w:p w14:paraId="0A1031E0"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5.58%</w:t>
            </w:r>
          </w:p>
        </w:tc>
        <w:tc>
          <w:tcPr>
            <w:tcW w:w="723" w:type="pct"/>
            <w:shd w:val="clear" w:color="auto" w:fill="auto"/>
            <w:vAlign w:val="center"/>
            <w:hideMark/>
          </w:tcPr>
          <w:p w14:paraId="2A560E2E"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$408,242.44</w:t>
            </w:r>
          </w:p>
        </w:tc>
        <w:tc>
          <w:tcPr>
            <w:tcW w:w="403" w:type="pct"/>
            <w:vMerge/>
            <w:vAlign w:val="center"/>
            <w:hideMark/>
          </w:tcPr>
          <w:p w14:paraId="426AD034"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16C23E66"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$81,648.49</w:t>
            </w:r>
          </w:p>
        </w:tc>
      </w:tr>
      <w:tr w:rsidR="00E04CFA" w:rsidRPr="00514A78" w14:paraId="1F4C2551" w14:textId="77777777" w:rsidTr="00114F89">
        <w:trPr>
          <w:trHeight w:val="268"/>
        </w:trPr>
        <w:tc>
          <w:tcPr>
            <w:tcW w:w="236" w:type="pct"/>
            <w:shd w:val="clear" w:color="auto" w:fill="auto"/>
            <w:vAlign w:val="center"/>
            <w:hideMark/>
          </w:tcPr>
          <w:p w14:paraId="253E5E98"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17</w:t>
            </w:r>
          </w:p>
        </w:tc>
        <w:tc>
          <w:tcPr>
            <w:tcW w:w="1609" w:type="pct"/>
            <w:shd w:val="clear" w:color="auto" w:fill="auto"/>
            <w:noWrap/>
            <w:vAlign w:val="center"/>
            <w:hideMark/>
          </w:tcPr>
          <w:p w14:paraId="64BFC568"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 xml:space="preserve">Jalpa de Méndez, </w:t>
            </w:r>
            <w:proofErr w:type="spellStart"/>
            <w:r w:rsidRPr="00514A78">
              <w:rPr>
                <w:rFonts w:eastAsia="Times New Roman"/>
                <w:spacing w:val="-10"/>
                <w:kern w:val="0"/>
                <w:sz w:val="18"/>
                <w:szCs w:val="18"/>
                <w:lang w:eastAsia="es-MX"/>
                <w14:ligatures w14:val="none"/>
              </w:rPr>
              <w:t>Nacajuca</w:t>
            </w:r>
            <w:proofErr w:type="spellEnd"/>
          </w:p>
        </w:tc>
        <w:tc>
          <w:tcPr>
            <w:tcW w:w="561" w:type="pct"/>
            <w:shd w:val="clear" w:color="auto" w:fill="auto"/>
            <w:vAlign w:val="center"/>
            <w:hideMark/>
          </w:tcPr>
          <w:p w14:paraId="2C051EF8"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89,933</w:t>
            </w:r>
          </w:p>
        </w:tc>
        <w:tc>
          <w:tcPr>
            <w:tcW w:w="642" w:type="pct"/>
            <w:shd w:val="clear" w:color="auto" w:fill="auto"/>
            <w:vAlign w:val="center"/>
            <w:hideMark/>
          </w:tcPr>
          <w:p w14:paraId="5B81D10E"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5.07%</w:t>
            </w:r>
          </w:p>
        </w:tc>
        <w:tc>
          <w:tcPr>
            <w:tcW w:w="723" w:type="pct"/>
            <w:shd w:val="clear" w:color="auto" w:fill="auto"/>
            <w:vAlign w:val="center"/>
            <w:hideMark/>
          </w:tcPr>
          <w:p w14:paraId="1E3DF26F"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$370,639.81</w:t>
            </w:r>
          </w:p>
        </w:tc>
        <w:tc>
          <w:tcPr>
            <w:tcW w:w="403" w:type="pct"/>
            <w:vMerge/>
            <w:vAlign w:val="center"/>
            <w:hideMark/>
          </w:tcPr>
          <w:p w14:paraId="498A58D3"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5B7E81F3"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$74,127.96</w:t>
            </w:r>
          </w:p>
        </w:tc>
      </w:tr>
      <w:tr w:rsidR="00E04CFA" w:rsidRPr="00514A78" w14:paraId="529D2CF8" w14:textId="77777777" w:rsidTr="00114F89">
        <w:trPr>
          <w:trHeight w:val="315"/>
        </w:trPr>
        <w:tc>
          <w:tcPr>
            <w:tcW w:w="236" w:type="pct"/>
            <w:shd w:val="clear" w:color="auto" w:fill="auto"/>
            <w:vAlign w:val="center"/>
            <w:hideMark/>
          </w:tcPr>
          <w:p w14:paraId="47404654"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18</w:t>
            </w:r>
          </w:p>
        </w:tc>
        <w:tc>
          <w:tcPr>
            <w:tcW w:w="1609" w:type="pct"/>
            <w:shd w:val="clear" w:color="auto" w:fill="auto"/>
            <w:noWrap/>
            <w:vAlign w:val="center"/>
            <w:hideMark/>
          </w:tcPr>
          <w:p w14:paraId="07D6DD4F" w14:textId="77777777" w:rsidR="00E04CFA" w:rsidRPr="00514A78" w:rsidRDefault="00E04CFA" w:rsidP="00114F89">
            <w:pPr>
              <w:spacing w:before="20" w:after="20"/>
              <w:rPr>
                <w:rFonts w:eastAsia="Times New Roman"/>
                <w:spacing w:val="-10"/>
                <w:kern w:val="0"/>
                <w:sz w:val="18"/>
                <w:szCs w:val="18"/>
                <w:lang w:eastAsia="es-MX"/>
                <w14:ligatures w14:val="none"/>
              </w:rPr>
            </w:pPr>
            <w:proofErr w:type="spellStart"/>
            <w:r w:rsidRPr="00514A78">
              <w:rPr>
                <w:rFonts w:eastAsia="Times New Roman"/>
                <w:spacing w:val="-10"/>
                <w:kern w:val="0"/>
                <w:sz w:val="18"/>
                <w:szCs w:val="18"/>
                <w:lang w:eastAsia="es-MX"/>
                <w14:ligatures w14:val="none"/>
              </w:rPr>
              <w:t>Nacajuca</w:t>
            </w:r>
            <w:proofErr w:type="spellEnd"/>
          </w:p>
        </w:tc>
        <w:tc>
          <w:tcPr>
            <w:tcW w:w="561" w:type="pct"/>
            <w:shd w:val="clear" w:color="auto" w:fill="auto"/>
            <w:vAlign w:val="center"/>
            <w:hideMark/>
          </w:tcPr>
          <w:p w14:paraId="58F4DC8A"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82,108</w:t>
            </w:r>
          </w:p>
        </w:tc>
        <w:tc>
          <w:tcPr>
            <w:tcW w:w="642" w:type="pct"/>
            <w:shd w:val="clear" w:color="auto" w:fill="auto"/>
            <w:vAlign w:val="center"/>
            <w:hideMark/>
          </w:tcPr>
          <w:p w14:paraId="44BD86DB"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4.63%</w:t>
            </w:r>
          </w:p>
        </w:tc>
        <w:tc>
          <w:tcPr>
            <w:tcW w:w="723" w:type="pct"/>
            <w:shd w:val="clear" w:color="auto" w:fill="auto"/>
            <w:vAlign w:val="center"/>
            <w:hideMark/>
          </w:tcPr>
          <w:p w14:paraId="35EB488A"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$338,390.73</w:t>
            </w:r>
          </w:p>
        </w:tc>
        <w:tc>
          <w:tcPr>
            <w:tcW w:w="403" w:type="pct"/>
            <w:vMerge/>
            <w:vAlign w:val="center"/>
            <w:hideMark/>
          </w:tcPr>
          <w:p w14:paraId="1E4AACD4"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31D4FA90"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$67,678.15</w:t>
            </w:r>
          </w:p>
        </w:tc>
      </w:tr>
      <w:tr w:rsidR="00E04CFA" w:rsidRPr="00514A78" w14:paraId="7166E580" w14:textId="77777777" w:rsidTr="00114F89">
        <w:trPr>
          <w:trHeight w:val="362"/>
        </w:trPr>
        <w:tc>
          <w:tcPr>
            <w:tcW w:w="236" w:type="pct"/>
            <w:shd w:val="clear" w:color="auto" w:fill="auto"/>
            <w:vAlign w:val="center"/>
            <w:hideMark/>
          </w:tcPr>
          <w:p w14:paraId="72D30AF2"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19</w:t>
            </w:r>
          </w:p>
        </w:tc>
        <w:tc>
          <w:tcPr>
            <w:tcW w:w="1609" w:type="pct"/>
            <w:shd w:val="clear" w:color="auto" w:fill="auto"/>
            <w:noWrap/>
            <w:vAlign w:val="center"/>
            <w:hideMark/>
          </w:tcPr>
          <w:p w14:paraId="2557D27D"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Paraíso, Comalcalco</w:t>
            </w:r>
          </w:p>
        </w:tc>
        <w:tc>
          <w:tcPr>
            <w:tcW w:w="561" w:type="pct"/>
            <w:shd w:val="clear" w:color="auto" w:fill="auto"/>
            <w:vAlign w:val="center"/>
            <w:hideMark/>
          </w:tcPr>
          <w:p w14:paraId="3532C088"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85,746</w:t>
            </w:r>
          </w:p>
        </w:tc>
        <w:tc>
          <w:tcPr>
            <w:tcW w:w="642" w:type="pct"/>
            <w:shd w:val="clear" w:color="auto" w:fill="auto"/>
            <w:vAlign w:val="center"/>
            <w:hideMark/>
          </w:tcPr>
          <w:p w14:paraId="7710E0F1"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4.83%</w:t>
            </w:r>
          </w:p>
        </w:tc>
        <w:tc>
          <w:tcPr>
            <w:tcW w:w="723" w:type="pct"/>
            <w:shd w:val="clear" w:color="auto" w:fill="auto"/>
            <w:vAlign w:val="center"/>
            <w:hideMark/>
          </w:tcPr>
          <w:p w14:paraId="5D927EF3"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$353,383.97</w:t>
            </w:r>
          </w:p>
        </w:tc>
        <w:tc>
          <w:tcPr>
            <w:tcW w:w="403" w:type="pct"/>
            <w:vMerge/>
            <w:vAlign w:val="center"/>
            <w:hideMark/>
          </w:tcPr>
          <w:p w14:paraId="581D24CA"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71194487"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$70,676.79</w:t>
            </w:r>
          </w:p>
        </w:tc>
      </w:tr>
      <w:tr w:rsidR="00E04CFA" w:rsidRPr="00514A78" w14:paraId="4E831E68" w14:textId="77777777" w:rsidTr="00114F89">
        <w:trPr>
          <w:trHeight w:val="254"/>
        </w:trPr>
        <w:tc>
          <w:tcPr>
            <w:tcW w:w="236" w:type="pct"/>
            <w:shd w:val="clear" w:color="auto" w:fill="auto"/>
            <w:vAlign w:val="center"/>
            <w:hideMark/>
          </w:tcPr>
          <w:p w14:paraId="137F6673"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20</w:t>
            </w:r>
          </w:p>
        </w:tc>
        <w:tc>
          <w:tcPr>
            <w:tcW w:w="1609" w:type="pct"/>
            <w:shd w:val="clear" w:color="auto" w:fill="auto"/>
            <w:noWrap/>
            <w:vAlign w:val="center"/>
            <w:hideMark/>
          </w:tcPr>
          <w:p w14:paraId="198A0280"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Teapa, Tacotalpa</w:t>
            </w:r>
          </w:p>
        </w:tc>
        <w:tc>
          <w:tcPr>
            <w:tcW w:w="561" w:type="pct"/>
            <w:shd w:val="clear" w:color="auto" w:fill="auto"/>
            <w:vAlign w:val="center"/>
            <w:hideMark/>
          </w:tcPr>
          <w:p w14:paraId="5E8EAF3B"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76,624</w:t>
            </w:r>
          </w:p>
        </w:tc>
        <w:tc>
          <w:tcPr>
            <w:tcW w:w="642" w:type="pct"/>
            <w:shd w:val="clear" w:color="auto" w:fill="auto"/>
            <w:vAlign w:val="center"/>
            <w:hideMark/>
          </w:tcPr>
          <w:p w14:paraId="22E55642"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4.32%</w:t>
            </w:r>
          </w:p>
        </w:tc>
        <w:tc>
          <w:tcPr>
            <w:tcW w:w="723" w:type="pct"/>
            <w:shd w:val="clear" w:color="auto" w:fill="auto"/>
            <w:vAlign w:val="center"/>
            <w:hideMark/>
          </w:tcPr>
          <w:p w14:paraId="532AE410"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$315,789.58</w:t>
            </w:r>
          </w:p>
        </w:tc>
        <w:tc>
          <w:tcPr>
            <w:tcW w:w="403" w:type="pct"/>
            <w:vMerge/>
            <w:vAlign w:val="center"/>
            <w:hideMark/>
          </w:tcPr>
          <w:p w14:paraId="2F7C1B98"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473B71A2"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$63,157.92</w:t>
            </w:r>
          </w:p>
        </w:tc>
      </w:tr>
      <w:tr w:rsidR="00E04CFA" w:rsidRPr="00514A78" w14:paraId="6499B9FB" w14:textId="77777777" w:rsidTr="00114F89">
        <w:trPr>
          <w:trHeight w:val="258"/>
        </w:trPr>
        <w:tc>
          <w:tcPr>
            <w:tcW w:w="236" w:type="pct"/>
            <w:shd w:val="clear" w:color="auto" w:fill="auto"/>
            <w:vAlign w:val="center"/>
            <w:hideMark/>
          </w:tcPr>
          <w:p w14:paraId="17324B5C"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21</w:t>
            </w:r>
          </w:p>
        </w:tc>
        <w:tc>
          <w:tcPr>
            <w:tcW w:w="1609" w:type="pct"/>
            <w:shd w:val="clear" w:color="auto" w:fill="auto"/>
            <w:noWrap/>
            <w:vAlign w:val="center"/>
            <w:hideMark/>
          </w:tcPr>
          <w:p w14:paraId="7F81B826" w14:textId="77777777" w:rsidR="00E04CFA" w:rsidRPr="00514A78" w:rsidRDefault="00E04CFA" w:rsidP="00114F89">
            <w:pPr>
              <w:spacing w:before="20" w:after="20"/>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 xml:space="preserve">Tenosique, </w:t>
            </w:r>
            <w:proofErr w:type="spellStart"/>
            <w:r w:rsidRPr="00514A78">
              <w:rPr>
                <w:rFonts w:eastAsia="Times New Roman"/>
                <w:spacing w:val="-10"/>
                <w:kern w:val="0"/>
                <w:sz w:val="18"/>
                <w:szCs w:val="18"/>
                <w:lang w:eastAsia="es-MX"/>
                <w14:ligatures w14:val="none"/>
              </w:rPr>
              <w:t>Balancán</w:t>
            </w:r>
            <w:proofErr w:type="spellEnd"/>
          </w:p>
        </w:tc>
        <w:tc>
          <w:tcPr>
            <w:tcW w:w="561" w:type="pct"/>
            <w:shd w:val="clear" w:color="auto" w:fill="auto"/>
            <w:vAlign w:val="center"/>
            <w:hideMark/>
          </w:tcPr>
          <w:p w14:paraId="2E827EB2"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88,683</w:t>
            </w:r>
          </w:p>
        </w:tc>
        <w:tc>
          <w:tcPr>
            <w:tcW w:w="642" w:type="pct"/>
            <w:shd w:val="clear" w:color="auto" w:fill="auto"/>
            <w:vAlign w:val="center"/>
            <w:hideMark/>
          </w:tcPr>
          <w:p w14:paraId="5F4333ED"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5.00%</w:t>
            </w:r>
          </w:p>
        </w:tc>
        <w:tc>
          <w:tcPr>
            <w:tcW w:w="723" w:type="pct"/>
            <w:shd w:val="clear" w:color="auto" w:fill="auto"/>
            <w:vAlign w:val="center"/>
            <w:hideMark/>
          </w:tcPr>
          <w:p w14:paraId="302BECF5"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$365,488.20</w:t>
            </w:r>
          </w:p>
        </w:tc>
        <w:tc>
          <w:tcPr>
            <w:tcW w:w="403" w:type="pct"/>
            <w:vMerge/>
            <w:vAlign w:val="center"/>
            <w:hideMark/>
          </w:tcPr>
          <w:p w14:paraId="202E2F06" w14:textId="77777777" w:rsidR="00E04CFA" w:rsidRPr="00514A78" w:rsidRDefault="00E04CFA" w:rsidP="00114F89">
            <w:pPr>
              <w:spacing w:before="20" w:after="20"/>
              <w:jc w:val="left"/>
              <w:rPr>
                <w:rFonts w:eastAsia="Times New Roman"/>
                <w:spacing w:val="-10"/>
                <w:kern w:val="0"/>
                <w:sz w:val="18"/>
                <w:szCs w:val="18"/>
                <w:lang w:eastAsia="es-MX"/>
                <w14:ligatures w14:val="none"/>
              </w:rPr>
            </w:pPr>
          </w:p>
        </w:tc>
        <w:tc>
          <w:tcPr>
            <w:tcW w:w="826" w:type="pct"/>
            <w:shd w:val="clear" w:color="auto" w:fill="auto"/>
            <w:vAlign w:val="center"/>
            <w:hideMark/>
          </w:tcPr>
          <w:p w14:paraId="26CEBF9D"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eastAsia="es-MX"/>
                <w14:ligatures w14:val="none"/>
              </w:rPr>
              <w:t>$73,097.64</w:t>
            </w:r>
          </w:p>
        </w:tc>
      </w:tr>
      <w:tr w:rsidR="00E04CFA" w:rsidRPr="00514A78" w14:paraId="33D75C81" w14:textId="77777777" w:rsidTr="00114F89">
        <w:trPr>
          <w:trHeight w:val="315"/>
        </w:trPr>
        <w:tc>
          <w:tcPr>
            <w:tcW w:w="1844" w:type="pct"/>
            <w:gridSpan w:val="2"/>
            <w:shd w:val="clear" w:color="auto" w:fill="BFBFBF" w:themeFill="background1" w:themeFillShade="BF"/>
            <w:vAlign w:val="center"/>
            <w:hideMark/>
          </w:tcPr>
          <w:p w14:paraId="7880CB1D" w14:textId="77777777" w:rsidR="00E04CFA" w:rsidRPr="00514A78" w:rsidRDefault="00E04CFA" w:rsidP="00114F89">
            <w:pPr>
              <w:spacing w:before="20" w:after="20"/>
              <w:jc w:val="right"/>
              <w:rPr>
                <w:rFonts w:eastAsia="Times New Roman"/>
                <w:spacing w:val="-10"/>
                <w:kern w:val="0"/>
                <w:sz w:val="18"/>
                <w:szCs w:val="18"/>
                <w:lang w:eastAsia="es-MX"/>
                <w14:ligatures w14:val="none"/>
              </w:rPr>
            </w:pPr>
            <w:r w:rsidRPr="00514A78">
              <w:rPr>
                <w:rFonts w:eastAsia="Times New Roman"/>
                <w:spacing w:val="-10"/>
                <w:kern w:val="0"/>
                <w:sz w:val="18"/>
                <w:szCs w:val="18"/>
                <w:lang w:val="es-ES" w:eastAsia="es-MX"/>
                <w14:ligatures w14:val="none"/>
              </w:rPr>
              <w:t> </w:t>
            </w:r>
            <w:r w:rsidRPr="00514A78">
              <w:rPr>
                <w:rFonts w:eastAsia="Times New Roman"/>
                <w:b/>
                <w:bCs/>
                <w:spacing w:val="-10"/>
                <w:kern w:val="0"/>
                <w:sz w:val="18"/>
                <w:szCs w:val="18"/>
                <w:lang w:eastAsia="es-MX"/>
                <w14:ligatures w14:val="none"/>
              </w:rPr>
              <w:t>Total</w:t>
            </w:r>
          </w:p>
        </w:tc>
        <w:tc>
          <w:tcPr>
            <w:tcW w:w="561" w:type="pct"/>
            <w:shd w:val="clear" w:color="auto" w:fill="BFBFBF" w:themeFill="background1" w:themeFillShade="BF"/>
            <w:vAlign w:val="center"/>
            <w:hideMark/>
          </w:tcPr>
          <w:p w14:paraId="7FFD1E2D" w14:textId="77777777" w:rsidR="00E04CFA" w:rsidRPr="00514A78" w:rsidRDefault="00E04CFA" w:rsidP="00114F89">
            <w:pPr>
              <w:spacing w:before="20" w:after="20"/>
              <w:jc w:val="right"/>
              <w:rPr>
                <w:rFonts w:eastAsia="Times New Roman"/>
                <w:b/>
                <w:bCs/>
                <w:spacing w:val="-10"/>
                <w:kern w:val="0"/>
                <w:sz w:val="18"/>
                <w:szCs w:val="18"/>
                <w:lang w:eastAsia="es-MX"/>
                <w14:ligatures w14:val="none"/>
              </w:rPr>
            </w:pPr>
            <w:r w:rsidRPr="00514A78">
              <w:rPr>
                <w:rFonts w:eastAsia="Times New Roman"/>
                <w:b/>
                <w:bCs/>
                <w:spacing w:val="-10"/>
                <w:kern w:val="0"/>
                <w:sz w:val="18"/>
                <w:szCs w:val="18"/>
                <w:lang w:eastAsia="es-MX"/>
                <w14:ligatures w14:val="none"/>
              </w:rPr>
              <w:t>1,775,194</w:t>
            </w:r>
          </w:p>
        </w:tc>
        <w:tc>
          <w:tcPr>
            <w:tcW w:w="642" w:type="pct"/>
            <w:shd w:val="clear" w:color="auto" w:fill="BFBFBF" w:themeFill="background1" w:themeFillShade="BF"/>
            <w:vAlign w:val="center"/>
            <w:hideMark/>
          </w:tcPr>
          <w:p w14:paraId="2C7BB449" w14:textId="77777777" w:rsidR="00E04CFA" w:rsidRPr="00514A78" w:rsidRDefault="00E04CFA" w:rsidP="00114F89">
            <w:pPr>
              <w:spacing w:before="20" w:after="20"/>
              <w:jc w:val="right"/>
              <w:rPr>
                <w:rFonts w:eastAsia="Times New Roman"/>
                <w:b/>
                <w:bCs/>
                <w:spacing w:val="-10"/>
                <w:kern w:val="0"/>
                <w:sz w:val="18"/>
                <w:szCs w:val="18"/>
                <w:lang w:eastAsia="es-MX"/>
                <w14:ligatures w14:val="none"/>
              </w:rPr>
            </w:pPr>
            <w:r w:rsidRPr="00514A78">
              <w:rPr>
                <w:rFonts w:eastAsia="Times New Roman"/>
                <w:b/>
                <w:bCs/>
                <w:spacing w:val="-10"/>
                <w:kern w:val="0"/>
                <w:sz w:val="18"/>
                <w:szCs w:val="18"/>
                <w:lang w:eastAsia="es-MX"/>
                <w14:ligatures w14:val="none"/>
              </w:rPr>
              <w:t>100%</w:t>
            </w:r>
          </w:p>
        </w:tc>
        <w:tc>
          <w:tcPr>
            <w:tcW w:w="723" w:type="pct"/>
            <w:shd w:val="clear" w:color="auto" w:fill="BFBFBF" w:themeFill="background1" w:themeFillShade="BF"/>
            <w:vAlign w:val="center"/>
            <w:hideMark/>
          </w:tcPr>
          <w:p w14:paraId="20C02BD0" w14:textId="77777777" w:rsidR="00E04CFA" w:rsidRPr="00514A78" w:rsidRDefault="00E04CFA" w:rsidP="00114F89">
            <w:pPr>
              <w:spacing w:before="20" w:after="20"/>
              <w:jc w:val="right"/>
              <w:rPr>
                <w:rFonts w:eastAsia="Times New Roman"/>
                <w:b/>
                <w:bCs/>
                <w:spacing w:val="-10"/>
                <w:kern w:val="0"/>
                <w:sz w:val="18"/>
                <w:szCs w:val="18"/>
                <w:lang w:eastAsia="es-MX"/>
                <w14:ligatures w14:val="none"/>
              </w:rPr>
            </w:pPr>
            <w:r w:rsidRPr="00514A78">
              <w:rPr>
                <w:rFonts w:eastAsia="Times New Roman"/>
                <w:b/>
                <w:bCs/>
                <w:spacing w:val="-10"/>
                <w:kern w:val="0"/>
                <w:sz w:val="18"/>
                <w:szCs w:val="18"/>
                <w:lang w:eastAsia="es-MX"/>
                <w14:ligatures w14:val="none"/>
              </w:rPr>
              <w:t>$7,316,085.98</w:t>
            </w:r>
          </w:p>
        </w:tc>
        <w:tc>
          <w:tcPr>
            <w:tcW w:w="403" w:type="pct"/>
            <w:shd w:val="clear" w:color="auto" w:fill="BFBFBF" w:themeFill="background1" w:themeFillShade="BF"/>
            <w:noWrap/>
            <w:vAlign w:val="center"/>
            <w:hideMark/>
          </w:tcPr>
          <w:p w14:paraId="075D957F" w14:textId="77777777" w:rsidR="00E04CFA" w:rsidRPr="00514A78" w:rsidRDefault="00E04CFA" w:rsidP="00114F89">
            <w:pPr>
              <w:spacing w:before="20" w:after="20"/>
              <w:jc w:val="center"/>
              <w:rPr>
                <w:rFonts w:eastAsia="Times New Roman"/>
                <w:b/>
                <w:bCs/>
                <w:spacing w:val="-10"/>
                <w:kern w:val="0"/>
                <w:sz w:val="18"/>
                <w:szCs w:val="18"/>
                <w:lang w:eastAsia="es-MX"/>
                <w14:ligatures w14:val="none"/>
              </w:rPr>
            </w:pPr>
            <w:r w:rsidRPr="00514A78">
              <w:rPr>
                <w:rFonts w:eastAsia="Times New Roman"/>
                <w:b/>
                <w:bCs/>
                <w:spacing w:val="-10"/>
                <w:kern w:val="0"/>
                <w:sz w:val="18"/>
                <w:szCs w:val="18"/>
                <w:lang w:eastAsia="es-MX"/>
                <w14:ligatures w14:val="none"/>
              </w:rPr>
              <w:t> </w:t>
            </w:r>
          </w:p>
        </w:tc>
        <w:tc>
          <w:tcPr>
            <w:tcW w:w="826" w:type="pct"/>
            <w:shd w:val="clear" w:color="auto" w:fill="BFBFBF" w:themeFill="background1" w:themeFillShade="BF"/>
            <w:vAlign w:val="center"/>
            <w:hideMark/>
          </w:tcPr>
          <w:p w14:paraId="2C3CCED4" w14:textId="77777777" w:rsidR="00E04CFA" w:rsidRPr="00514A78" w:rsidRDefault="00E04CFA" w:rsidP="00114F89">
            <w:pPr>
              <w:spacing w:before="20" w:after="20"/>
              <w:jc w:val="right"/>
              <w:rPr>
                <w:rFonts w:eastAsia="Times New Roman"/>
                <w:b/>
                <w:bCs/>
                <w:spacing w:val="-10"/>
                <w:kern w:val="0"/>
                <w:sz w:val="18"/>
                <w:szCs w:val="18"/>
                <w:lang w:eastAsia="es-MX"/>
                <w14:ligatures w14:val="none"/>
              </w:rPr>
            </w:pPr>
            <w:r w:rsidRPr="00514A78">
              <w:rPr>
                <w:rFonts w:eastAsia="Times New Roman"/>
                <w:b/>
                <w:bCs/>
                <w:spacing w:val="-10"/>
                <w:kern w:val="0"/>
                <w:sz w:val="18"/>
                <w:szCs w:val="18"/>
                <w:lang w:eastAsia="es-MX"/>
                <w14:ligatures w14:val="none"/>
              </w:rPr>
              <w:t>$1,463,217.20</w:t>
            </w:r>
          </w:p>
        </w:tc>
      </w:tr>
    </w:tbl>
    <w:p w14:paraId="106B14F6" w14:textId="77777777" w:rsidR="0020557B" w:rsidRPr="00514A78" w:rsidRDefault="0020557B" w:rsidP="00592342">
      <w:pPr>
        <w:pStyle w:val="Puntos"/>
        <w:spacing w:line="300" w:lineRule="auto"/>
        <w:ind w:left="0"/>
        <w:rPr>
          <w:bCs/>
          <w:sz w:val="23"/>
          <w:szCs w:val="23"/>
        </w:rPr>
      </w:pPr>
    </w:p>
    <w:p w14:paraId="0F61B4E2" w14:textId="1146DFED" w:rsidR="00592342" w:rsidRDefault="00592342" w:rsidP="00592342">
      <w:pPr>
        <w:pStyle w:val="Puntos"/>
        <w:spacing w:line="300" w:lineRule="auto"/>
        <w:ind w:left="0"/>
        <w:rPr>
          <w:bCs/>
          <w:sz w:val="23"/>
          <w:szCs w:val="23"/>
        </w:rPr>
      </w:pPr>
      <w:r w:rsidRPr="00514A78">
        <w:rPr>
          <w:b/>
          <w:sz w:val="23"/>
          <w:szCs w:val="23"/>
        </w:rPr>
        <w:t xml:space="preserve">Tercero. </w:t>
      </w:r>
      <w:r w:rsidRPr="00514A78">
        <w:rPr>
          <w:bCs/>
          <w:sz w:val="23"/>
          <w:szCs w:val="23"/>
        </w:rPr>
        <w:t xml:space="preserve">Se determina como límite o tope máximo de gastos de precampaña que puede erogar un partido político o coalición para la elección relativa a las Presidencias Municipales y Regidurías la cantidad de </w:t>
      </w:r>
      <w:r w:rsidRPr="00514A78">
        <w:rPr>
          <w:b/>
          <w:sz w:val="23"/>
          <w:szCs w:val="23"/>
        </w:rPr>
        <w:t xml:space="preserve">$1’463,217.19 (un millón cuatrocientos sesenta y tres mil doscientos diecisiete pesos 19/100 moneda nacional) </w:t>
      </w:r>
      <w:r w:rsidRPr="00514A78">
        <w:rPr>
          <w:bCs/>
          <w:sz w:val="23"/>
          <w:szCs w:val="23"/>
        </w:rPr>
        <w:t xml:space="preserve">que se obtiene de aplicar el 20% sobre el tope de gastos de campaña para la elección de </w:t>
      </w:r>
      <w:r w:rsidR="00B12384">
        <w:rPr>
          <w:bCs/>
          <w:sz w:val="23"/>
          <w:szCs w:val="23"/>
        </w:rPr>
        <w:t>Presidencias Municipales y Regidurías</w:t>
      </w:r>
      <w:r w:rsidRPr="00514A78">
        <w:rPr>
          <w:bCs/>
          <w:sz w:val="23"/>
          <w:szCs w:val="23"/>
        </w:rPr>
        <w:t xml:space="preserve"> en el Proceso Electoral Local anterior, el cual de forma individualizada</w:t>
      </w:r>
      <w:r w:rsidR="002A2AF9" w:rsidRPr="00514A78">
        <w:rPr>
          <w:bCs/>
          <w:sz w:val="23"/>
          <w:szCs w:val="23"/>
        </w:rPr>
        <w:t xml:space="preserve"> para cada municipio</w:t>
      </w:r>
      <w:r w:rsidRPr="00514A78">
        <w:rPr>
          <w:bCs/>
          <w:sz w:val="23"/>
          <w:szCs w:val="23"/>
        </w:rPr>
        <w:t xml:space="preserve"> se distribuye de la siguiente forma:</w:t>
      </w:r>
    </w:p>
    <w:tbl>
      <w:tblPr>
        <w:tblW w:w="4094"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984"/>
        <w:gridCol w:w="1559"/>
        <w:gridCol w:w="1560"/>
        <w:gridCol w:w="2125"/>
      </w:tblGrid>
      <w:tr w:rsidR="00E04CFA" w:rsidRPr="00514A78" w14:paraId="3723012D" w14:textId="77777777" w:rsidTr="00114F89">
        <w:trPr>
          <w:trHeight w:val="997"/>
          <w:tblHeader/>
          <w:jc w:val="center"/>
        </w:trPr>
        <w:tc>
          <w:tcPr>
            <w:tcW w:w="1372" w:type="pct"/>
            <w:shd w:val="clear" w:color="auto" w:fill="993366"/>
            <w:vAlign w:val="center"/>
            <w:hideMark/>
          </w:tcPr>
          <w:p w14:paraId="5E4F056F" w14:textId="77777777" w:rsidR="00E04CFA" w:rsidRPr="00DE3330" w:rsidRDefault="00E04CFA" w:rsidP="00114F89">
            <w:pPr>
              <w:spacing w:before="0" w:after="0" w:line="276" w:lineRule="auto"/>
              <w:jc w:val="center"/>
              <w:rPr>
                <w:rFonts w:eastAsia="Times New Roman"/>
                <w:b/>
                <w:bCs/>
                <w:color w:val="FFFFFF" w:themeColor="background1"/>
                <w:kern w:val="0"/>
                <w:sz w:val="14"/>
                <w:szCs w:val="14"/>
                <w:lang w:eastAsia="es-MX"/>
                <w14:ligatures w14:val="none"/>
              </w:rPr>
            </w:pPr>
            <w:r w:rsidRPr="00DE3330">
              <w:rPr>
                <w:rFonts w:eastAsia="Times New Roman"/>
                <w:b/>
                <w:bCs/>
                <w:color w:val="FFFFFF" w:themeColor="background1"/>
                <w:kern w:val="0"/>
                <w:sz w:val="14"/>
                <w:szCs w:val="14"/>
                <w:lang w:eastAsia="es-MX"/>
                <w14:ligatures w14:val="none"/>
              </w:rPr>
              <w:t>Municipio</w:t>
            </w:r>
          </w:p>
        </w:tc>
        <w:tc>
          <w:tcPr>
            <w:tcW w:w="1078" w:type="pct"/>
            <w:shd w:val="clear" w:color="auto" w:fill="993366"/>
            <w:vAlign w:val="center"/>
            <w:hideMark/>
          </w:tcPr>
          <w:p w14:paraId="18906538" w14:textId="77777777" w:rsidR="00E04CFA" w:rsidRPr="00DE3330" w:rsidRDefault="00E04CFA" w:rsidP="00114F89">
            <w:pPr>
              <w:spacing w:before="0" w:after="0" w:line="276" w:lineRule="auto"/>
              <w:jc w:val="center"/>
              <w:rPr>
                <w:rFonts w:eastAsia="Times New Roman"/>
                <w:b/>
                <w:bCs/>
                <w:color w:val="FFFFFF" w:themeColor="background1"/>
                <w:kern w:val="0"/>
                <w:sz w:val="14"/>
                <w:szCs w:val="14"/>
                <w:lang w:eastAsia="es-MX"/>
                <w14:ligatures w14:val="none"/>
              </w:rPr>
            </w:pPr>
            <w:r w:rsidRPr="00DE3330">
              <w:rPr>
                <w:rFonts w:eastAsia="Times New Roman"/>
                <w:b/>
                <w:bCs/>
                <w:color w:val="FFFFFF" w:themeColor="background1"/>
                <w:kern w:val="0"/>
                <w:sz w:val="14"/>
                <w:szCs w:val="14"/>
                <w:lang w:eastAsia="es-MX"/>
                <w14:ligatures w14:val="none"/>
              </w:rPr>
              <w:t>Tope de Gastos de Campaña de la elección 2021-2022</w:t>
            </w:r>
          </w:p>
          <w:p w14:paraId="7687CC6A" w14:textId="77777777" w:rsidR="00E04CFA" w:rsidRPr="00DE3330" w:rsidRDefault="00E04CFA" w:rsidP="00114F89">
            <w:pPr>
              <w:spacing w:before="0" w:after="0" w:line="276" w:lineRule="auto"/>
              <w:jc w:val="center"/>
              <w:rPr>
                <w:rFonts w:eastAsia="Times New Roman"/>
                <w:b/>
                <w:bCs/>
                <w:color w:val="FFFFFF" w:themeColor="background1"/>
                <w:kern w:val="0"/>
                <w:sz w:val="14"/>
                <w:szCs w:val="14"/>
                <w:lang w:eastAsia="es-MX"/>
                <w14:ligatures w14:val="none"/>
              </w:rPr>
            </w:pPr>
            <w:r w:rsidRPr="00DE3330">
              <w:rPr>
                <w:rFonts w:eastAsia="Times New Roman"/>
                <w:b/>
                <w:bCs/>
                <w:color w:val="FFFFFF" w:themeColor="background1"/>
                <w:kern w:val="0"/>
                <w:sz w:val="14"/>
                <w:szCs w:val="14"/>
                <w:lang w:eastAsia="es-MX"/>
                <w14:ligatures w14:val="none"/>
              </w:rPr>
              <w:t xml:space="preserve"> (CE/2021/23)</w:t>
            </w:r>
          </w:p>
        </w:tc>
        <w:tc>
          <w:tcPr>
            <w:tcW w:w="1079" w:type="pct"/>
            <w:shd w:val="clear" w:color="auto" w:fill="993366"/>
            <w:vAlign w:val="center"/>
            <w:hideMark/>
          </w:tcPr>
          <w:p w14:paraId="52B9EBC1" w14:textId="77777777" w:rsidR="00E04CFA" w:rsidRPr="00DE3330" w:rsidRDefault="00E04CFA" w:rsidP="00114F89">
            <w:pPr>
              <w:spacing w:before="0" w:after="0" w:line="276" w:lineRule="auto"/>
              <w:jc w:val="center"/>
              <w:rPr>
                <w:rFonts w:eastAsia="Times New Roman"/>
                <w:b/>
                <w:bCs/>
                <w:color w:val="FFFFFF" w:themeColor="background1"/>
                <w:kern w:val="0"/>
                <w:sz w:val="14"/>
                <w:szCs w:val="14"/>
                <w:lang w:eastAsia="es-MX"/>
                <w14:ligatures w14:val="none"/>
              </w:rPr>
            </w:pPr>
            <w:r w:rsidRPr="00DE3330">
              <w:rPr>
                <w:rFonts w:eastAsia="Times New Roman"/>
                <w:b/>
                <w:bCs/>
                <w:color w:val="FFFFFF" w:themeColor="background1"/>
                <w:kern w:val="0"/>
                <w:sz w:val="14"/>
                <w:szCs w:val="14"/>
                <w:lang w:eastAsia="es-MX"/>
                <w14:ligatures w14:val="none"/>
              </w:rPr>
              <w:t>Porcentaje</w:t>
            </w:r>
          </w:p>
        </w:tc>
        <w:tc>
          <w:tcPr>
            <w:tcW w:w="1470" w:type="pct"/>
            <w:shd w:val="clear" w:color="auto" w:fill="993366"/>
            <w:vAlign w:val="center"/>
            <w:hideMark/>
          </w:tcPr>
          <w:p w14:paraId="41961EA9" w14:textId="77777777" w:rsidR="00E04CFA" w:rsidRPr="00DE3330" w:rsidRDefault="00E04CFA" w:rsidP="00114F89">
            <w:pPr>
              <w:spacing w:before="0" w:after="0" w:line="276" w:lineRule="auto"/>
              <w:jc w:val="center"/>
              <w:rPr>
                <w:rFonts w:eastAsia="Times New Roman"/>
                <w:b/>
                <w:bCs/>
                <w:color w:val="FFFFFF" w:themeColor="background1"/>
                <w:kern w:val="0"/>
                <w:sz w:val="14"/>
                <w:szCs w:val="14"/>
                <w:lang w:eastAsia="es-MX"/>
                <w14:ligatures w14:val="none"/>
              </w:rPr>
            </w:pPr>
            <w:r w:rsidRPr="00DE3330">
              <w:rPr>
                <w:rFonts w:eastAsia="Times New Roman"/>
                <w:b/>
                <w:bCs/>
                <w:color w:val="FFFFFF" w:themeColor="background1"/>
                <w:kern w:val="0"/>
                <w:sz w:val="14"/>
                <w:szCs w:val="14"/>
                <w:lang w:eastAsia="es-MX"/>
                <w14:ligatures w14:val="none"/>
              </w:rPr>
              <w:t>Límite o tope máximo de gastos de precampaña para la elección a Presidencias Municipales y Regidurías con motivo del Proceso Electoral 2023 - 2024</w:t>
            </w:r>
          </w:p>
        </w:tc>
      </w:tr>
      <w:tr w:rsidR="00E04CFA" w:rsidRPr="00514A78" w14:paraId="5177D719" w14:textId="77777777" w:rsidTr="00114F89">
        <w:trPr>
          <w:trHeight w:val="300"/>
          <w:jc w:val="center"/>
        </w:trPr>
        <w:tc>
          <w:tcPr>
            <w:tcW w:w="1372" w:type="pct"/>
            <w:shd w:val="clear" w:color="auto" w:fill="auto"/>
            <w:noWrap/>
            <w:vAlign w:val="center"/>
            <w:hideMark/>
          </w:tcPr>
          <w:p w14:paraId="54F0F5A3"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roofErr w:type="spellStart"/>
            <w:r w:rsidRPr="00514A78">
              <w:rPr>
                <w:rFonts w:eastAsia="Times New Roman"/>
                <w:kern w:val="0"/>
                <w:sz w:val="18"/>
                <w:szCs w:val="18"/>
                <w:lang w:eastAsia="es-MX"/>
                <w14:ligatures w14:val="none"/>
              </w:rPr>
              <w:t>Balancán</w:t>
            </w:r>
            <w:proofErr w:type="spellEnd"/>
          </w:p>
        </w:tc>
        <w:tc>
          <w:tcPr>
            <w:tcW w:w="1078" w:type="pct"/>
            <w:shd w:val="clear" w:color="auto" w:fill="auto"/>
            <w:noWrap/>
            <w:vAlign w:val="center"/>
            <w:hideMark/>
          </w:tcPr>
          <w:p w14:paraId="3B0C4356"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$175,694.65 </w:t>
            </w:r>
          </w:p>
        </w:tc>
        <w:tc>
          <w:tcPr>
            <w:tcW w:w="1079" w:type="pct"/>
            <w:vMerge w:val="restart"/>
            <w:shd w:val="clear" w:color="auto" w:fill="auto"/>
            <w:noWrap/>
            <w:vAlign w:val="center"/>
            <w:hideMark/>
          </w:tcPr>
          <w:p w14:paraId="607FFAE7" w14:textId="77777777" w:rsidR="00E04CFA" w:rsidRPr="00514A78" w:rsidRDefault="00E04CFA" w:rsidP="00114F89">
            <w:pPr>
              <w:spacing w:beforeLines="20" w:before="48" w:afterLines="20" w:after="48"/>
              <w:jc w:val="center"/>
              <w:rPr>
                <w:rFonts w:eastAsia="Times New Roman"/>
                <w:kern w:val="0"/>
                <w:sz w:val="18"/>
                <w:szCs w:val="18"/>
                <w:lang w:eastAsia="es-MX"/>
                <w14:ligatures w14:val="none"/>
              </w:rPr>
            </w:pPr>
            <w:r w:rsidRPr="00514A78">
              <w:rPr>
                <w:rFonts w:eastAsia="Times New Roman"/>
                <w:kern w:val="0"/>
                <w:sz w:val="18"/>
                <w:szCs w:val="18"/>
                <w:lang w:eastAsia="es-MX"/>
                <w14:ligatures w14:val="none"/>
              </w:rPr>
              <w:t>20%</w:t>
            </w:r>
          </w:p>
        </w:tc>
        <w:tc>
          <w:tcPr>
            <w:tcW w:w="1470" w:type="pct"/>
            <w:shd w:val="clear" w:color="auto" w:fill="auto"/>
            <w:noWrap/>
            <w:vAlign w:val="center"/>
            <w:hideMark/>
          </w:tcPr>
          <w:p w14:paraId="28C966C2"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$35,138.93 </w:t>
            </w:r>
          </w:p>
        </w:tc>
      </w:tr>
      <w:tr w:rsidR="00E04CFA" w:rsidRPr="00514A78" w14:paraId="1BD7C1DC" w14:textId="77777777" w:rsidTr="00114F89">
        <w:trPr>
          <w:trHeight w:val="300"/>
          <w:jc w:val="center"/>
        </w:trPr>
        <w:tc>
          <w:tcPr>
            <w:tcW w:w="1372" w:type="pct"/>
            <w:shd w:val="clear" w:color="auto" w:fill="auto"/>
            <w:noWrap/>
            <w:vAlign w:val="center"/>
            <w:hideMark/>
          </w:tcPr>
          <w:p w14:paraId="7D83C3E1"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Cárdenas</w:t>
            </w:r>
          </w:p>
        </w:tc>
        <w:tc>
          <w:tcPr>
            <w:tcW w:w="1078" w:type="pct"/>
            <w:shd w:val="clear" w:color="auto" w:fill="auto"/>
            <w:noWrap/>
            <w:vAlign w:val="center"/>
            <w:hideMark/>
          </w:tcPr>
          <w:p w14:paraId="42FE7ADC"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$745,486.37 </w:t>
            </w:r>
          </w:p>
        </w:tc>
        <w:tc>
          <w:tcPr>
            <w:tcW w:w="1079" w:type="pct"/>
            <w:vMerge/>
            <w:vAlign w:val="center"/>
            <w:hideMark/>
          </w:tcPr>
          <w:p w14:paraId="37BC27F5"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4855BA45"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$149,097.27 </w:t>
            </w:r>
          </w:p>
        </w:tc>
      </w:tr>
      <w:tr w:rsidR="00E04CFA" w:rsidRPr="00514A78" w14:paraId="03561D1A" w14:textId="77777777" w:rsidTr="00114F89">
        <w:trPr>
          <w:trHeight w:val="300"/>
          <w:jc w:val="center"/>
        </w:trPr>
        <w:tc>
          <w:tcPr>
            <w:tcW w:w="1372" w:type="pct"/>
            <w:shd w:val="clear" w:color="auto" w:fill="auto"/>
            <w:noWrap/>
            <w:vAlign w:val="center"/>
            <w:hideMark/>
          </w:tcPr>
          <w:p w14:paraId="3F34D1C4"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Centla</w:t>
            </w:r>
          </w:p>
        </w:tc>
        <w:tc>
          <w:tcPr>
            <w:tcW w:w="1078" w:type="pct"/>
            <w:shd w:val="clear" w:color="auto" w:fill="auto"/>
            <w:noWrap/>
            <w:vAlign w:val="center"/>
            <w:hideMark/>
          </w:tcPr>
          <w:p w14:paraId="6860128F"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$314,407.96 </w:t>
            </w:r>
          </w:p>
        </w:tc>
        <w:tc>
          <w:tcPr>
            <w:tcW w:w="1079" w:type="pct"/>
            <w:vMerge/>
            <w:vAlign w:val="center"/>
            <w:hideMark/>
          </w:tcPr>
          <w:p w14:paraId="48B4E74B"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5F19FEF0" w14:textId="77777777" w:rsidR="00E04CFA" w:rsidRPr="00514A78" w:rsidRDefault="00E04CFA" w:rsidP="00114F89">
            <w:pPr>
              <w:spacing w:beforeLines="20" w:before="48" w:afterLines="20" w:after="48"/>
              <w:ind w:left="708" w:hanging="70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$62,881.59 </w:t>
            </w:r>
          </w:p>
        </w:tc>
      </w:tr>
      <w:tr w:rsidR="00E04CFA" w:rsidRPr="00514A78" w14:paraId="031595EA" w14:textId="77777777" w:rsidTr="00114F89">
        <w:trPr>
          <w:trHeight w:val="300"/>
          <w:jc w:val="center"/>
        </w:trPr>
        <w:tc>
          <w:tcPr>
            <w:tcW w:w="1372" w:type="pct"/>
            <w:shd w:val="clear" w:color="auto" w:fill="auto"/>
            <w:noWrap/>
            <w:vAlign w:val="center"/>
            <w:hideMark/>
          </w:tcPr>
          <w:p w14:paraId="19A70EBE"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Centro</w:t>
            </w:r>
          </w:p>
        </w:tc>
        <w:tc>
          <w:tcPr>
            <w:tcW w:w="1078" w:type="pct"/>
            <w:shd w:val="clear" w:color="auto" w:fill="auto"/>
            <w:noWrap/>
            <w:vAlign w:val="center"/>
            <w:hideMark/>
          </w:tcPr>
          <w:p w14:paraId="38ED4D84"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$2’166,806.25 </w:t>
            </w:r>
          </w:p>
        </w:tc>
        <w:tc>
          <w:tcPr>
            <w:tcW w:w="1079" w:type="pct"/>
            <w:vMerge/>
            <w:vAlign w:val="center"/>
            <w:hideMark/>
          </w:tcPr>
          <w:p w14:paraId="02C3872A"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2225114E"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$433,361.25 </w:t>
            </w:r>
          </w:p>
        </w:tc>
      </w:tr>
      <w:tr w:rsidR="00E04CFA" w:rsidRPr="00514A78" w14:paraId="26CF37F6" w14:textId="77777777" w:rsidTr="00114F89">
        <w:trPr>
          <w:trHeight w:val="300"/>
          <w:jc w:val="center"/>
        </w:trPr>
        <w:tc>
          <w:tcPr>
            <w:tcW w:w="1372" w:type="pct"/>
            <w:shd w:val="clear" w:color="auto" w:fill="auto"/>
            <w:noWrap/>
            <w:vAlign w:val="center"/>
            <w:hideMark/>
          </w:tcPr>
          <w:p w14:paraId="6E24DB71"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Comalcalco</w:t>
            </w:r>
          </w:p>
        </w:tc>
        <w:tc>
          <w:tcPr>
            <w:tcW w:w="1078" w:type="pct"/>
            <w:shd w:val="clear" w:color="auto" w:fill="auto"/>
            <w:noWrap/>
            <w:vAlign w:val="center"/>
            <w:hideMark/>
          </w:tcPr>
          <w:p w14:paraId="1703690E"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$649,764.14 </w:t>
            </w:r>
          </w:p>
        </w:tc>
        <w:tc>
          <w:tcPr>
            <w:tcW w:w="1079" w:type="pct"/>
            <w:vMerge/>
            <w:vAlign w:val="center"/>
            <w:hideMark/>
          </w:tcPr>
          <w:p w14:paraId="78E1F0F6"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0EE5F406"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$129,952.83 </w:t>
            </w:r>
          </w:p>
        </w:tc>
      </w:tr>
      <w:tr w:rsidR="00E04CFA" w:rsidRPr="00514A78" w14:paraId="7C99F689" w14:textId="77777777" w:rsidTr="00114F89">
        <w:trPr>
          <w:trHeight w:val="300"/>
          <w:jc w:val="center"/>
        </w:trPr>
        <w:tc>
          <w:tcPr>
            <w:tcW w:w="1372" w:type="pct"/>
            <w:shd w:val="clear" w:color="auto" w:fill="auto"/>
            <w:noWrap/>
            <w:vAlign w:val="center"/>
            <w:hideMark/>
          </w:tcPr>
          <w:p w14:paraId="76A2B187"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Cunduacán</w:t>
            </w:r>
          </w:p>
        </w:tc>
        <w:tc>
          <w:tcPr>
            <w:tcW w:w="1078" w:type="pct"/>
            <w:shd w:val="clear" w:color="auto" w:fill="auto"/>
            <w:noWrap/>
            <w:vAlign w:val="center"/>
            <w:hideMark/>
          </w:tcPr>
          <w:p w14:paraId="5A818E17"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$401,076.94 </w:t>
            </w:r>
          </w:p>
        </w:tc>
        <w:tc>
          <w:tcPr>
            <w:tcW w:w="1079" w:type="pct"/>
            <w:vMerge/>
            <w:vAlign w:val="center"/>
            <w:hideMark/>
          </w:tcPr>
          <w:p w14:paraId="3734E08C"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02972CAF"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$80,215.39 </w:t>
            </w:r>
          </w:p>
        </w:tc>
      </w:tr>
      <w:tr w:rsidR="00E04CFA" w:rsidRPr="00514A78" w14:paraId="528BCBA6" w14:textId="77777777" w:rsidTr="00114F89">
        <w:trPr>
          <w:trHeight w:val="300"/>
          <w:jc w:val="center"/>
        </w:trPr>
        <w:tc>
          <w:tcPr>
            <w:tcW w:w="1372" w:type="pct"/>
            <w:shd w:val="clear" w:color="auto" w:fill="auto"/>
            <w:noWrap/>
            <w:vAlign w:val="center"/>
            <w:hideMark/>
          </w:tcPr>
          <w:p w14:paraId="3993D21E"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Emiliano zapata</w:t>
            </w:r>
          </w:p>
        </w:tc>
        <w:tc>
          <w:tcPr>
            <w:tcW w:w="1078" w:type="pct"/>
            <w:shd w:val="clear" w:color="auto" w:fill="auto"/>
            <w:noWrap/>
            <w:vAlign w:val="center"/>
            <w:hideMark/>
          </w:tcPr>
          <w:p w14:paraId="76F0AC7A"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$97,864.27 </w:t>
            </w:r>
          </w:p>
        </w:tc>
        <w:tc>
          <w:tcPr>
            <w:tcW w:w="1079" w:type="pct"/>
            <w:vMerge/>
            <w:vAlign w:val="center"/>
            <w:hideMark/>
          </w:tcPr>
          <w:p w14:paraId="0A15AD86"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7CAEA20D" w14:textId="77777777" w:rsidR="00E04CFA" w:rsidRPr="00514A78" w:rsidRDefault="00E04CFA" w:rsidP="00114F89">
            <w:pPr>
              <w:spacing w:beforeLines="20" w:before="48" w:afterLines="20" w:after="48"/>
              <w:ind w:left="708" w:hanging="70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$19,572.85 </w:t>
            </w:r>
          </w:p>
        </w:tc>
      </w:tr>
      <w:tr w:rsidR="00E04CFA" w:rsidRPr="00514A78" w14:paraId="27D3F5BF" w14:textId="77777777" w:rsidTr="00114F89">
        <w:trPr>
          <w:trHeight w:val="300"/>
          <w:jc w:val="center"/>
        </w:trPr>
        <w:tc>
          <w:tcPr>
            <w:tcW w:w="1372" w:type="pct"/>
            <w:shd w:val="clear" w:color="auto" w:fill="auto"/>
            <w:noWrap/>
            <w:vAlign w:val="center"/>
            <w:hideMark/>
          </w:tcPr>
          <w:p w14:paraId="5810941E"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Huimanguillo</w:t>
            </w:r>
          </w:p>
        </w:tc>
        <w:tc>
          <w:tcPr>
            <w:tcW w:w="1078" w:type="pct"/>
            <w:shd w:val="clear" w:color="auto" w:fill="auto"/>
            <w:noWrap/>
            <w:vAlign w:val="center"/>
            <w:hideMark/>
          </w:tcPr>
          <w:p w14:paraId="0F0F238F"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$556,879.37 </w:t>
            </w:r>
          </w:p>
        </w:tc>
        <w:tc>
          <w:tcPr>
            <w:tcW w:w="1079" w:type="pct"/>
            <w:vMerge/>
            <w:vAlign w:val="center"/>
            <w:hideMark/>
          </w:tcPr>
          <w:p w14:paraId="52D3E490"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25F44A52"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$111,375.87 </w:t>
            </w:r>
          </w:p>
        </w:tc>
      </w:tr>
      <w:tr w:rsidR="00E04CFA" w:rsidRPr="00514A78" w14:paraId="3085FEE4" w14:textId="77777777" w:rsidTr="00114F89">
        <w:trPr>
          <w:trHeight w:val="300"/>
          <w:jc w:val="center"/>
        </w:trPr>
        <w:tc>
          <w:tcPr>
            <w:tcW w:w="1372" w:type="pct"/>
            <w:shd w:val="clear" w:color="auto" w:fill="auto"/>
            <w:noWrap/>
            <w:vAlign w:val="center"/>
            <w:hideMark/>
          </w:tcPr>
          <w:p w14:paraId="09875E95"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Jalapa</w:t>
            </w:r>
          </w:p>
        </w:tc>
        <w:tc>
          <w:tcPr>
            <w:tcW w:w="1078" w:type="pct"/>
            <w:shd w:val="clear" w:color="auto" w:fill="auto"/>
            <w:noWrap/>
            <w:vAlign w:val="center"/>
            <w:hideMark/>
          </w:tcPr>
          <w:p w14:paraId="29442477"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$119,911.42 </w:t>
            </w:r>
          </w:p>
        </w:tc>
        <w:tc>
          <w:tcPr>
            <w:tcW w:w="1079" w:type="pct"/>
            <w:vMerge/>
            <w:vAlign w:val="center"/>
            <w:hideMark/>
          </w:tcPr>
          <w:p w14:paraId="3637B4C2"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121E53EA"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$23,982.28 </w:t>
            </w:r>
          </w:p>
        </w:tc>
      </w:tr>
      <w:tr w:rsidR="00E04CFA" w:rsidRPr="00514A78" w14:paraId="6C069770" w14:textId="77777777" w:rsidTr="00114F89">
        <w:trPr>
          <w:trHeight w:val="300"/>
          <w:jc w:val="center"/>
        </w:trPr>
        <w:tc>
          <w:tcPr>
            <w:tcW w:w="1372" w:type="pct"/>
            <w:shd w:val="clear" w:color="auto" w:fill="auto"/>
            <w:noWrap/>
            <w:vAlign w:val="center"/>
            <w:hideMark/>
          </w:tcPr>
          <w:p w14:paraId="1F90443A"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Jalpa de Méndez</w:t>
            </w:r>
          </w:p>
        </w:tc>
        <w:tc>
          <w:tcPr>
            <w:tcW w:w="1078" w:type="pct"/>
            <w:shd w:val="clear" w:color="auto" w:fill="auto"/>
            <w:noWrap/>
            <w:vAlign w:val="center"/>
            <w:hideMark/>
          </w:tcPr>
          <w:p w14:paraId="7C961EE9"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$273,975.31 </w:t>
            </w:r>
          </w:p>
        </w:tc>
        <w:tc>
          <w:tcPr>
            <w:tcW w:w="1079" w:type="pct"/>
            <w:vMerge/>
            <w:vAlign w:val="center"/>
            <w:hideMark/>
          </w:tcPr>
          <w:p w14:paraId="262CD98A"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21A25794"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$54,795.06 </w:t>
            </w:r>
          </w:p>
        </w:tc>
      </w:tr>
      <w:tr w:rsidR="00E04CFA" w:rsidRPr="00514A78" w14:paraId="7F0BB1B7" w14:textId="77777777" w:rsidTr="00114F89">
        <w:trPr>
          <w:trHeight w:val="300"/>
          <w:jc w:val="center"/>
        </w:trPr>
        <w:tc>
          <w:tcPr>
            <w:tcW w:w="1372" w:type="pct"/>
            <w:shd w:val="clear" w:color="auto" w:fill="auto"/>
            <w:noWrap/>
            <w:vAlign w:val="center"/>
            <w:hideMark/>
          </w:tcPr>
          <w:p w14:paraId="53EC9940"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roofErr w:type="spellStart"/>
            <w:r w:rsidRPr="00514A78">
              <w:rPr>
                <w:rFonts w:eastAsia="Times New Roman"/>
                <w:kern w:val="0"/>
                <w:sz w:val="18"/>
                <w:szCs w:val="18"/>
                <w:lang w:eastAsia="es-MX"/>
                <w14:ligatures w14:val="none"/>
              </w:rPr>
              <w:t>Jonuta</w:t>
            </w:r>
            <w:proofErr w:type="spellEnd"/>
          </w:p>
        </w:tc>
        <w:tc>
          <w:tcPr>
            <w:tcW w:w="1078" w:type="pct"/>
            <w:shd w:val="clear" w:color="auto" w:fill="auto"/>
            <w:noWrap/>
            <w:vAlign w:val="center"/>
            <w:hideMark/>
          </w:tcPr>
          <w:p w14:paraId="36C005F1"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$98,426.61 </w:t>
            </w:r>
          </w:p>
        </w:tc>
        <w:tc>
          <w:tcPr>
            <w:tcW w:w="1079" w:type="pct"/>
            <w:vMerge/>
            <w:vAlign w:val="center"/>
            <w:hideMark/>
          </w:tcPr>
          <w:p w14:paraId="7FB0B248"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38B47C27"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$19,685.32 </w:t>
            </w:r>
          </w:p>
        </w:tc>
      </w:tr>
      <w:tr w:rsidR="00E04CFA" w:rsidRPr="00514A78" w14:paraId="557C827F" w14:textId="77777777" w:rsidTr="00114F89">
        <w:trPr>
          <w:trHeight w:val="300"/>
          <w:jc w:val="center"/>
        </w:trPr>
        <w:tc>
          <w:tcPr>
            <w:tcW w:w="1372" w:type="pct"/>
            <w:shd w:val="clear" w:color="auto" w:fill="auto"/>
            <w:noWrap/>
            <w:vAlign w:val="center"/>
            <w:hideMark/>
          </w:tcPr>
          <w:p w14:paraId="7EADB99B"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Macuspana</w:t>
            </w:r>
          </w:p>
        </w:tc>
        <w:tc>
          <w:tcPr>
            <w:tcW w:w="1078" w:type="pct"/>
            <w:shd w:val="clear" w:color="auto" w:fill="auto"/>
            <w:noWrap/>
            <w:vAlign w:val="center"/>
            <w:hideMark/>
          </w:tcPr>
          <w:p w14:paraId="69B66086"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$504,186.85 </w:t>
            </w:r>
          </w:p>
        </w:tc>
        <w:tc>
          <w:tcPr>
            <w:tcW w:w="1079" w:type="pct"/>
            <w:vMerge/>
            <w:vAlign w:val="center"/>
            <w:hideMark/>
          </w:tcPr>
          <w:p w14:paraId="14A1E034"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2122F778"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$100,837.37 </w:t>
            </w:r>
          </w:p>
        </w:tc>
      </w:tr>
      <w:tr w:rsidR="00E04CFA" w:rsidRPr="00514A78" w14:paraId="3BE4932B" w14:textId="77777777" w:rsidTr="00114F89">
        <w:trPr>
          <w:trHeight w:val="300"/>
          <w:jc w:val="center"/>
        </w:trPr>
        <w:tc>
          <w:tcPr>
            <w:tcW w:w="1372" w:type="pct"/>
            <w:shd w:val="clear" w:color="auto" w:fill="auto"/>
            <w:noWrap/>
            <w:vAlign w:val="center"/>
            <w:hideMark/>
          </w:tcPr>
          <w:p w14:paraId="24A71C0D"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roofErr w:type="spellStart"/>
            <w:r w:rsidRPr="00514A78">
              <w:rPr>
                <w:rFonts w:eastAsia="Times New Roman"/>
                <w:kern w:val="0"/>
                <w:sz w:val="18"/>
                <w:szCs w:val="18"/>
                <w:lang w:eastAsia="es-MX"/>
                <w14:ligatures w14:val="none"/>
              </w:rPr>
              <w:t>Nacajuca</w:t>
            </w:r>
            <w:proofErr w:type="spellEnd"/>
          </w:p>
        </w:tc>
        <w:tc>
          <w:tcPr>
            <w:tcW w:w="1078" w:type="pct"/>
            <w:shd w:val="clear" w:color="auto" w:fill="auto"/>
            <w:noWrap/>
            <w:vAlign w:val="center"/>
            <w:hideMark/>
          </w:tcPr>
          <w:p w14:paraId="39EBF75D"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$411,353.59 </w:t>
            </w:r>
          </w:p>
        </w:tc>
        <w:tc>
          <w:tcPr>
            <w:tcW w:w="1079" w:type="pct"/>
            <w:vMerge/>
            <w:vAlign w:val="center"/>
            <w:hideMark/>
          </w:tcPr>
          <w:p w14:paraId="2C7D800E"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65A667AF"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$82,270.72 </w:t>
            </w:r>
          </w:p>
        </w:tc>
      </w:tr>
      <w:tr w:rsidR="00E04CFA" w:rsidRPr="00514A78" w14:paraId="496D3A39" w14:textId="77777777" w:rsidTr="00114F89">
        <w:trPr>
          <w:trHeight w:val="300"/>
          <w:jc w:val="center"/>
        </w:trPr>
        <w:tc>
          <w:tcPr>
            <w:tcW w:w="1372" w:type="pct"/>
            <w:shd w:val="clear" w:color="auto" w:fill="auto"/>
            <w:noWrap/>
            <w:vAlign w:val="center"/>
            <w:hideMark/>
          </w:tcPr>
          <w:p w14:paraId="4AEEB65B"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Paraíso</w:t>
            </w:r>
          </w:p>
        </w:tc>
        <w:tc>
          <w:tcPr>
            <w:tcW w:w="1078" w:type="pct"/>
            <w:shd w:val="clear" w:color="auto" w:fill="auto"/>
            <w:noWrap/>
            <w:vAlign w:val="center"/>
            <w:hideMark/>
          </w:tcPr>
          <w:p w14:paraId="42D6A3D0"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$296,322.94 </w:t>
            </w:r>
          </w:p>
        </w:tc>
        <w:tc>
          <w:tcPr>
            <w:tcW w:w="1079" w:type="pct"/>
            <w:vMerge/>
            <w:vAlign w:val="center"/>
            <w:hideMark/>
          </w:tcPr>
          <w:p w14:paraId="3F574BD6"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13053274"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$59,264.59 </w:t>
            </w:r>
          </w:p>
        </w:tc>
      </w:tr>
      <w:tr w:rsidR="00E04CFA" w:rsidRPr="00514A78" w14:paraId="7F1F7AE7" w14:textId="77777777" w:rsidTr="00114F89">
        <w:trPr>
          <w:trHeight w:val="300"/>
          <w:jc w:val="center"/>
        </w:trPr>
        <w:tc>
          <w:tcPr>
            <w:tcW w:w="1372" w:type="pct"/>
            <w:shd w:val="clear" w:color="auto" w:fill="auto"/>
            <w:noWrap/>
            <w:vAlign w:val="center"/>
            <w:hideMark/>
          </w:tcPr>
          <w:p w14:paraId="7E5F6B61"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Tacotalpa</w:t>
            </w:r>
          </w:p>
        </w:tc>
        <w:tc>
          <w:tcPr>
            <w:tcW w:w="1078" w:type="pct"/>
            <w:shd w:val="clear" w:color="auto" w:fill="auto"/>
            <w:noWrap/>
            <w:vAlign w:val="center"/>
            <w:hideMark/>
          </w:tcPr>
          <w:p w14:paraId="2DA75DCD"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$143,632.71 </w:t>
            </w:r>
          </w:p>
        </w:tc>
        <w:tc>
          <w:tcPr>
            <w:tcW w:w="1079" w:type="pct"/>
            <w:vMerge/>
            <w:vAlign w:val="center"/>
            <w:hideMark/>
          </w:tcPr>
          <w:p w14:paraId="08C65B2A"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3CA41DFE"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$28,726.54 </w:t>
            </w:r>
          </w:p>
        </w:tc>
      </w:tr>
      <w:tr w:rsidR="00E04CFA" w:rsidRPr="00514A78" w14:paraId="1F230B92" w14:textId="77777777" w:rsidTr="00114F89">
        <w:trPr>
          <w:trHeight w:val="300"/>
          <w:jc w:val="center"/>
        </w:trPr>
        <w:tc>
          <w:tcPr>
            <w:tcW w:w="1372" w:type="pct"/>
            <w:shd w:val="clear" w:color="auto" w:fill="auto"/>
            <w:noWrap/>
            <w:vAlign w:val="center"/>
            <w:hideMark/>
          </w:tcPr>
          <w:p w14:paraId="75BAE3C1"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Teapa</w:t>
            </w:r>
          </w:p>
        </w:tc>
        <w:tc>
          <w:tcPr>
            <w:tcW w:w="1078" w:type="pct"/>
            <w:shd w:val="clear" w:color="auto" w:fill="auto"/>
            <w:noWrap/>
            <w:vAlign w:val="center"/>
            <w:hideMark/>
          </w:tcPr>
          <w:p w14:paraId="1DC05C6D"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$172,483.73 </w:t>
            </w:r>
          </w:p>
        </w:tc>
        <w:tc>
          <w:tcPr>
            <w:tcW w:w="1079" w:type="pct"/>
            <w:vMerge/>
            <w:vAlign w:val="center"/>
            <w:hideMark/>
          </w:tcPr>
          <w:p w14:paraId="77A67811"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48592667"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$34,496.75 </w:t>
            </w:r>
          </w:p>
        </w:tc>
      </w:tr>
      <w:tr w:rsidR="00E04CFA" w:rsidRPr="00514A78" w14:paraId="68782FB3" w14:textId="77777777" w:rsidTr="00114F89">
        <w:trPr>
          <w:trHeight w:val="300"/>
          <w:jc w:val="center"/>
        </w:trPr>
        <w:tc>
          <w:tcPr>
            <w:tcW w:w="1372" w:type="pct"/>
            <w:shd w:val="clear" w:color="auto" w:fill="auto"/>
            <w:noWrap/>
            <w:vAlign w:val="center"/>
            <w:hideMark/>
          </w:tcPr>
          <w:p w14:paraId="1E7FA4D3"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r w:rsidRPr="00514A78">
              <w:rPr>
                <w:rFonts w:eastAsia="Times New Roman"/>
                <w:kern w:val="0"/>
                <w:sz w:val="18"/>
                <w:szCs w:val="18"/>
                <w:lang w:eastAsia="es-MX"/>
                <w14:ligatures w14:val="none"/>
              </w:rPr>
              <w:t>Tenosique</w:t>
            </w:r>
          </w:p>
        </w:tc>
        <w:tc>
          <w:tcPr>
            <w:tcW w:w="1078" w:type="pct"/>
            <w:shd w:val="clear" w:color="auto" w:fill="auto"/>
            <w:noWrap/>
            <w:vAlign w:val="center"/>
            <w:hideMark/>
          </w:tcPr>
          <w:p w14:paraId="21E302C1"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$187,812.86 </w:t>
            </w:r>
          </w:p>
        </w:tc>
        <w:tc>
          <w:tcPr>
            <w:tcW w:w="1079" w:type="pct"/>
            <w:vMerge/>
            <w:vAlign w:val="center"/>
            <w:hideMark/>
          </w:tcPr>
          <w:p w14:paraId="1CED6043" w14:textId="77777777" w:rsidR="00E04CFA" w:rsidRPr="00514A78" w:rsidRDefault="00E04CFA" w:rsidP="00114F89">
            <w:pPr>
              <w:spacing w:beforeLines="20" w:before="48" w:afterLines="20" w:after="48"/>
              <w:jc w:val="left"/>
              <w:rPr>
                <w:rFonts w:eastAsia="Times New Roman"/>
                <w:kern w:val="0"/>
                <w:sz w:val="18"/>
                <w:szCs w:val="18"/>
                <w:lang w:eastAsia="es-MX"/>
                <w14:ligatures w14:val="none"/>
              </w:rPr>
            </w:pPr>
          </w:p>
        </w:tc>
        <w:tc>
          <w:tcPr>
            <w:tcW w:w="1470" w:type="pct"/>
            <w:shd w:val="clear" w:color="auto" w:fill="auto"/>
            <w:noWrap/>
            <w:vAlign w:val="center"/>
            <w:hideMark/>
          </w:tcPr>
          <w:p w14:paraId="59929C04" w14:textId="77777777" w:rsidR="00E04CFA" w:rsidRPr="00514A78" w:rsidRDefault="00E04CFA" w:rsidP="00114F89">
            <w:pPr>
              <w:spacing w:beforeLines="20" w:before="48" w:afterLines="20" w:after="48"/>
              <w:jc w:val="right"/>
              <w:rPr>
                <w:rFonts w:eastAsia="Times New Roman"/>
                <w:kern w:val="0"/>
                <w:sz w:val="18"/>
                <w:szCs w:val="18"/>
                <w:lang w:eastAsia="es-MX"/>
                <w14:ligatures w14:val="none"/>
              </w:rPr>
            </w:pPr>
            <w:r w:rsidRPr="00514A78">
              <w:rPr>
                <w:rFonts w:eastAsia="Times New Roman"/>
                <w:kern w:val="0"/>
                <w:sz w:val="18"/>
                <w:szCs w:val="18"/>
                <w:lang w:eastAsia="es-MX"/>
                <w14:ligatures w14:val="none"/>
              </w:rPr>
              <w:t xml:space="preserve"> $37,562.57 </w:t>
            </w:r>
          </w:p>
        </w:tc>
      </w:tr>
      <w:tr w:rsidR="00E04CFA" w:rsidRPr="00514A78" w14:paraId="0B013DF4" w14:textId="77777777" w:rsidTr="00114F89">
        <w:trPr>
          <w:trHeight w:val="315"/>
          <w:jc w:val="center"/>
        </w:trPr>
        <w:tc>
          <w:tcPr>
            <w:tcW w:w="1372" w:type="pct"/>
            <w:shd w:val="clear" w:color="auto" w:fill="BFBFBF" w:themeFill="background1" w:themeFillShade="BF"/>
            <w:noWrap/>
            <w:vAlign w:val="center"/>
            <w:hideMark/>
          </w:tcPr>
          <w:p w14:paraId="65CAD598" w14:textId="77777777" w:rsidR="00E04CFA" w:rsidRPr="00514A78" w:rsidRDefault="00E04CFA" w:rsidP="00114F89">
            <w:pPr>
              <w:spacing w:beforeLines="20" w:before="48" w:afterLines="20" w:after="48"/>
              <w:jc w:val="right"/>
              <w:rPr>
                <w:rFonts w:eastAsia="Times New Roman"/>
                <w:b/>
                <w:bCs/>
                <w:kern w:val="0"/>
                <w:sz w:val="18"/>
                <w:szCs w:val="18"/>
                <w:lang w:eastAsia="es-MX"/>
                <w14:ligatures w14:val="none"/>
              </w:rPr>
            </w:pPr>
            <w:r w:rsidRPr="00514A78">
              <w:rPr>
                <w:rFonts w:eastAsia="Times New Roman"/>
                <w:b/>
                <w:bCs/>
                <w:kern w:val="0"/>
                <w:sz w:val="18"/>
                <w:szCs w:val="18"/>
                <w:lang w:eastAsia="es-MX"/>
                <w14:ligatures w14:val="none"/>
              </w:rPr>
              <w:t>Total</w:t>
            </w:r>
          </w:p>
        </w:tc>
        <w:tc>
          <w:tcPr>
            <w:tcW w:w="1078" w:type="pct"/>
            <w:shd w:val="clear" w:color="auto" w:fill="BFBFBF" w:themeFill="background1" w:themeFillShade="BF"/>
            <w:noWrap/>
            <w:vAlign w:val="bottom"/>
            <w:hideMark/>
          </w:tcPr>
          <w:p w14:paraId="317113D1" w14:textId="77777777" w:rsidR="00E04CFA" w:rsidRPr="00514A78" w:rsidRDefault="00E04CFA" w:rsidP="00114F89">
            <w:pPr>
              <w:spacing w:beforeLines="20" w:before="48" w:afterLines="20" w:after="48"/>
              <w:jc w:val="right"/>
              <w:rPr>
                <w:rFonts w:eastAsia="Times New Roman"/>
                <w:b/>
                <w:bCs/>
                <w:kern w:val="0"/>
                <w:sz w:val="18"/>
                <w:szCs w:val="18"/>
                <w:lang w:eastAsia="es-MX"/>
                <w14:ligatures w14:val="none"/>
              </w:rPr>
            </w:pPr>
            <w:r w:rsidRPr="00514A78">
              <w:rPr>
                <w:rFonts w:eastAsia="Times New Roman"/>
                <w:b/>
                <w:bCs/>
                <w:kern w:val="0"/>
                <w:sz w:val="18"/>
                <w:szCs w:val="18"/>
                <w:lang w:eastAsia="es-MX"/>
                <w14:ligatures w14:val="none"/>
              </w:rPr>
              <w:t xml:space="preserve"> $7’316,085.97 </w:t>
            </w:r>
          </w:p>
        </w:tc>
        <w:tc>
          <w:tcPr>
            <w:tcW w:w="1079" w:type="pct"/>
            <w:shd w:val="clear" w:color="auto" w:fill="BFBFBF" w:themeFill="background1" w:themeFillShade="BF"/>
            <w:noWrap/>
            <w:vAlign w:val="bottom"/>
            <w:hideMark/>
          </w:tcPr>
          <w:p w14:paraId="5A120C78" w14:textId="77777777" w:rsidR="00E04CFA" w:rsidRPr="00514A78" w:rsidRDefault="00E04CFA" w:rsidP="00114F89">
            <w:pPr>
              <w:spacing w:beforeLines="20" w:before="48" w:afterLines="20" w:after="48"/>
              <w:jc w:val="left"/>
              <w:rPr>
                <w:rFonts w:eastAsia="Times New Roman"/>
                <w:b/>
                <w:bCs/>
                <w:kern w:val="0"/>
                <w:sz w:val="18"/>
                <w:szCs w:val="18"/>
                <w:lang w:eastAsia="es-MX"/>
                <w14:ligatures w14:val="none"/>
              </w:rPr>
            </w:pPr>
            <w:r w:rsidRPr="00514A78">
              <w:rPr>
                <w:rFonts w:eastAsia="Times New Roman"/>
                <w:b/>
                <w:bCs/>
                <w:kern w:val="0"/>
                <w:sz w:val="18"/>
                <w:szCs w:val="18"/>
                <w:lang w:eastAsia="es-MX"/>
                <w14:ligatures w14:val="none"/>
              </w:rPr>
              <w:t> </w:t>
            </w:r>
          </w:p>
        </w:tc>
        <w:tc>
          <w:tcPr>
            <w:tcW w:w="1470" w:type="pct"/>
            <w:shd w:val="clear" w:color="auto" w:fill="BFBFBF" w:themeFill="background1" w:themeFillShade="BF"/>
            <w:noWrap/>
            <w:vAlign w:val="bottom"/>
            <w:hideMark/>
          </w:tcPr>
          <w:p w14:paraId="017545BE" w14:textId="77777777" w:rsidR="00E04CFA" w:rsidRPr="00514A78" w:rsidRDefault="00E04CFA" w:rsidP="00114F89">
            <w:pPr>
              <w:spacing w:beforeLines="20" w:before="48" w:afterLines="20" w:after="48"/>
              <w:jc w:val="right"/>
              <w:rPr>
                <w:rFonts w:eastAsia="Times New Roman"/>
                <w:b/>
                <w:bCs/>
                <w:kern w:val="0"/>
                <w:sz w:val="18"/>
                <w:szCs w:val="18"/>
                <w:lang w:eastAsia="es-MX"/>
                <w14:ligatures w14:val="none"/>
              </w:rPr>
            </w:pPr>
            <w:r w:rsidRPr="00514A78">
              <w:rPr>
                <w:rFonts w:eastAsia="Times New Roman"/>
                <w:b/>
                <w:bCs/>
                <w:kern w:val="0"/>
                <w:sz w:val="18"/>
                <w:szCs w:val="18"/>
                <w:lang w:eastAsia="es-MX"/>
                <w14:ligatures w14:val="none"/>
              </w:rPr>
              <w:t xml:space="preserve"> $1’463,217.19 </w:t>
            </w:r>
          </w:p>
        </w:tc>
      </w:tr>
    </w:tbl>
    <w:p w14:paraId="0E2A2AF0" w14:textId="4B5DBFC4" w:rsidR="00A91A35" w:rsidRPr="00514A78" w:rsidRDefault="00A91A35" w:rsidP="00E04CFA">
      <w:pPr>
        <w:pStyle w:val="Puntos"/>
        <w:spacing w:before="240" w:line="300" w:lineRule="auto"/>
        <w:ind w:left="0"/>
        <w:rPr>
          <w:sz w:val="23"/>
          <w:szCs w:val="23"/>
        </w:rPr>
      </w:pPr>
      <w:r w:rsidRPr="00514A78">
        <w:rPr>
          <w:b/>
          <w:sz w:val="23"/>
          <w:szCs w:val="23"/>
        </w:rPr>
        <w:t xml:space="preserve">Cuarto. </w:t>
      </w:r>
      <w:r w:rsidRPr="00514A78">
        <w:rPr>
          <w:sz w:val="23"/>
          <w:szCs w:val="23"/>
        </w:rPr>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02BDE865" w14:textId="77777777" w:rsidR="00A91A35" w:rsidRPr="00514A78" w:rsidRDefault="00A91A35" w:rsidP="00A91A35">
      <w:pPr>
        <w:pStyle w:val="Puntos"/>
        <w:spacing w:line="300" w:lineRule="auto"/>
        <w:ind w:left="0"/>
        <w:rPr>
          <w:sz w:val="23"/>
          <w:szCs w:val="23"/>
        </w:rPr>
      </w:pPr>
      <w:r w:rsidRPr="00514A78">
        <w:rPr>
          <w:b/>
          <w:bCs/>
          <w:sz w:val="23"/>
          <w:szCs w:val="23"/>
        </w:rPr>
        <w:t>Quinto.</w:t>
      </w:r>
      <w:r w:rsidRPr="00514A78">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4A892ECD" w14:textId="2997FEEA" w:rsidR="00A91A35" w:rsidRPr="00514A78" w:rsidRDefault="00A91A35" w:rsidP="00A91A35">
      <w:pPr>
        <w:pStyle w:val="Puntos"/>
        <w:spacing w:line="300" w:lineRule="auto"/>
        <w:ind w:left="0"/>
        <w:rPr>
          <w:sz w:val="23"/>
          <w:szCs w:val="23"/>
        </w:rPr>
      </w:pPr>
      <w:r w:rsidRPr="00514A78">
        <w:rPr>
          <w:sz w:val="23"/>
          <w:szCs w:val="23"/>
        </w:rPr>
        <w:t xml:space="preserve">El presente acuerdo fue </w:t>
      </w:r>
      <w:r w:rsidR="00F96440">
        <w:rPr>
          <w:sz w:val="23"/>
          <w:szCs w:val="23"/>
        </w:rPr>
        <w:t xml:space="preserve">aprobado </w:t>
      </w:r>
      <w:r w:rsidRPr="00514A78">
        <w:rPr>
          <w:sz w:val="23"/>
          <w:szCs w:val="23"/>
        </w:rPr>
        <w:t xml:space="preserve"> en sesión</w:t>
      </w:r>
      <w:r w:rsidR="00F96440">
        <w:rPr>
          <w:sz w:val="23"/>
          <w:szCs w:val="23"/>
        </w:rPr>
        <w:t xml:space="preserve"> ordinaria </w:t>
      </w:r>
      <w:r w:rsidRPr="00514A78">
        <w:rPr>
          <w:sz w:val="23"/>
          <w:szCs w:val="23"/>
        </w:rPr>
        <w:t xml:space="preserve"> efectuada el </w:t>
      </w:r>
      <w:r w:rsidR="00F96440">
        <w:rPr>
          <w:sz w:val="23"/>
          <w:szCs w:val="23"/>
        </w:rPr>
        <w:t>treinta y uno</w:t>
      </w:r>
      <w:r w:rsidRPr="00514A78">
        <w:rPr>
          <w:sz w:val="23"/>
          <w:szCs w:val="23"/>
        </w:rPr>
        <w:t xml:space="preserve"> de </w:t>
      </w:r>
      <w:r w:rsidR="00F96440">
        <w:rPr>
          <w:sz w:val="23"/>
          <w:szCs w:val="23"/>
        </w:rPr>
        <w:t>octubre</w:t>
      </w:r>
      <w:r w:rsidRPr="00514A78">
        <w:rPr>
          <w:sz w:val="23"/>
          <w:szCs w:val="23"/>
        </w:rPr>
        <w:t xml:space="preserve"> del año dos mil veintitrés, por votación </w:t>
      </w:r>
      <w:r w:rsidR="00F96440">
        <w:rPr>
          <w:sz w:val="23"/>
          <w:szCs w:val="23"/>
        </w:rPr>
        <w:t>unánime</w:t>
      </w:r>
      <w:r w:rsidRPr="00514A78">
        <w:rPr>
          <w:sz w:val="23"/>
          <w:szCs w:val="23"/>
        </w:rPr>
        <w:t xml:space="preserve"> de las y los Consejeros Electorales del Consejo Estatal del Instituto Electoral y de Particip</w:t>
      </w:r>
      <w:r w:rsidR="00F571F2">
        <w:rPr>
          <w:sz w:val="23"/>
          <w:szCs w:val="23"/>
        </w:rPr>
        <w:t xml:space="preserve">ación Ciudadana de Tabasco: </w:t>
      </w:r>
      <w:proofErr w:type="spellStart"/>
      <w:r w:rsidR="00F571F2">
        <w:rPr>
          <w:sz w:val="23"/>
          <w:szCs w:val="23"/>
        </w:rPr>
        <w:t>Dra</w:t>
      </w:r>
      <w:proofErr w:type="spellEnd"/>
      <w:r w:rsidRPr="00514A78">
        <w:rPr>
          <w:sz w:val="23"/>
          <w:szCs w:val="23"/>
        </w:rPr>
        <w:t xml:space="preserve"> </w:t>
      </w:r>
      <w:proofErr w:type="spellStart"/>
      <w:r w:rsidRPr="00514A78">
        <w:rPr>
          <w:sz w:val="23"/>
          <w:szCs w:val="23"/>
        </w:rPr>
        <w:t>Rosselvy</w:t>
      </w:r>
      <w:proofErr w:type="spellEnd"/>
      <w:r w:rsidRPr="00514A78">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0BD54C97" w14:textId="77777777" w:rsidR="00A91A35" w:rsidRPr="00514A78" w:rsidRDefault="00A91A35" w:rsidP="00A91A35">
      <w:pPr>
        <w:pStyle w:val="Puntos"/>
        <w:spacing w:line="288" w:lineRule="auto"/>
        <w:ind w:left="0"/>
        <w:rPr>
          <w:sz w:val="23"/>
          <w:szCs w:val="23"/>
        </w:rPr>
      </w:pPr>
      <w:bookmarkStart w:id="0" w:name="_GoBack"/>
      <w:bookmarkEnd w:id="0"/>
    </w:p>
    <w:p w14:paraId="2B7D6FC1" w14:textId="77777777" w:rsidR="00A91A35" w:rsidRPr="00514A78" w:rsidRDefault="00A91A35" w:rsidP="00A91A35">
      <w:pPr>
        <w:pStyle w:val="Puntos"/>
        <w:spacing w:line="288" w:lineRule="auto"/>
        <w:ind w:left="0"/>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514A78" w:rsidRPr="00514A78" w14:paraId="187F287B" w14:textId="77777777" w:rsidTr="007B1BC1">
        <w:tc>
          <w:tcPr>
            <w:tcW w:w="4395" w:type="dxa"/>
          </w:tcPr>
          <w:p w14:paraId="0634FD28" w14:textId="77777777" w:rsidR="00A91A35" w:rsidRPr="00514A78" w:rsidRDefault="00A91A35" w:rsidP="007B1BC1">
            <w:pPr>
              <w:widowControl w:val="0"/>
              <w:spacing w:before="0" w:after="0" w:line="288" w:lineRule="auto"/>
              <w:jc w:val="center"/>
              <w:rPr>
                <w:b/>
                <w:spacing w:val="-10"/>
                <w:sz w:val="24"/>
                <w:szCs w:val="24"/>
              </w:rPr>
            </w:pPr>
            <w:r w:rsidRPr="00514A78">
              <w:rPr>
                <w:b/>
                <w:spacing w:val="-10"/>
                <w:sz w:val="24"/>
                <w:szCs w:val="24"/>
              </w:rPr>
              <w:t>MTRA. ELIZABETH NAVA GUTIÉRREZ</w:t>
            </w:r>
          </w:p>
          <w:p w14:paraId="39E0AA4B" w14:textId="77777777" w:rsidR="00A91A35" w:rsidRPr="00514A78" w:rsidRDefault="00A91A35" w:rsidP="007B1BC1">
            <w:pPr>
              <w:widowControl w:val="0"/>
              <w:spacing w:before="0" w:after="0" w:line="288" w:lineRule="auto"/>
              <w:jc w:val="center"/>
              <w:rPr>
                <w:b/>
                <w:sz w:val="24"/>
                <w:szCs w:val="24"/>
              </w:rPr>
            </w:pPr>
            <w:r w:rsidRPr="00514A78">
              <w:rPr>
                <w:b/>
                <w:spacing w:val="-10"/>
                <w:sz w:val="24"/>
                <w:szCs w:val="24"/>
              </w:rPr>
              <w:t>CONSEJERA PRESIDENTA</w:t>
            </w:r>
          </w:p>
        </w:tc>
        <w:tc>
          <w:tcPr>
            <w:tcW w:w="278" w:type="dxa"/>
          </w:tcPr>
          <w:p w14:paraId="7AF1D303" w14:textId="77777777" w:rsidR="00A91A35" w:rsidRPr="00514A78" w:rsidRDefault="00A91A35" w:rsidP="007B1BC1">
            <w:pPr>
              <w:widowControl w:val="0"/>
              <w:spacing w:before="0" w:after="0" w:line="288" w:lineRule="auto"/>
              <w:rPr>
                <w:b/>
                <w:sz w:val="24"/>
                <w:szCs w:val="24"/>
              </w:rPr>
            </w:pPr>
          </w:p>
        </w:tc>
        <w:tc>
          <w:tcPr>
            <w:tcW w:w="4400" w:type="dxa"/>
          </w:tcPr>
          <w:p w14:paraId="2A391D24" w14:textId="77777777" w:rsidR="00A91A35" w:rsidRPr="00514A78" w:rsidRDefault="00A91A35" w:rsidP="007B1BC1">
            <w:pPr>
              <w:widowControl w:val="0"/>
              <w:spacing w:before="0" w:after="0" w:line="288" w:lineRule="auto"/>
              <w:jc w:val="center"/>
              <w:rPr>
                <w:b/>
                <w:spacing w:val="-10"/>
                <w:sz w:val="24"/>
                <w:szCs w:val="24"/>
              </w:rPr>
            </w:pPr>
            <w:r w:rsidRPr="00514A78">
              <w:rPr>
                <w:b/>
                <w:spacing w:val="-10"/>
                <w:sz w:val="24"/>
                <w:szCs w:val="24"/>
              </w:rPr>
              <w:t>LIC. JORGE ALBERTO ZAVALA FRÍAS</w:t>
            </w:r>
          </w:p>
          <w:p w14:paraId="6C1FBC13" w14:textId="77777777" w:rsidR="00A91A35" w:rsidRPr="00514A78" w:rsidRDefault="00A91A35" w:rsidP="007B1BC1">
            <w:pPr>
              <w:widowControl w:val="0"/>
              <w:spacing w:before="0" w:after="0" w:line="288" w:lineRule="auto"/>
              <w:jc w:val="center"/>
              <w:rPr>
                <w:b/>
                <w:sz w:val="24"/>
                <w:szCs w:val="24"/>
              </w:rPr>
            </w:pPr>
            <w:r w:rsidRPr="00514A78">
              <w:rPr>
                <w:b/>
                <w:spacing w:val="-10"/>
                <w:sz w:val="24"/>
                <w:szCs w:val="24"/>
              </w:rPr>
              <w:t>SECRETARIO DEL CONSEJO</w:t>
            </w:r>
          </w:p>
        </w:tc>
      </w:tr>
    </w:tbl>
    <w:p w14:paraId="577E4788" w14:textId="3486361E" w:rsidR="006C5E94" w:rsidRPr="00514A78" w:rsidRDefault="006C5E94" w:rsidP="000B2DB0"/>
    <w:sectPr w:rsidR="006C5E94" w:rsidRPr="00514A78" w:rsidSect="007D1E7E">
      <w:headerReference w:type="default" r:id="rId8"/>
      <w:footerReference w:type="default" r:id="rId9"/>
      <w:pgSz w:w="12240" w:h="15840" w:code="1"/>
      <w:pgMar w:top="2977"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F47CD" w14:textId="77777777" w:rsidR="00D36C57" w:rsidRDefault="00D36C57" w:rsidP="00D8479E">
      <w:pPr>
        <w:spacing w:before="0" w:after="0" w:line="240" w:lineRule="auto"/>
      </w:pPr>
      <w:r>
        <w:separator/>
      </w:r>
    </w:p>
  </w:endnote>
  <w:endnote w:type="continuationSeparator" w:id="0">
    <w:p w14:paraId="4A15374A" w14:textId="77777777" w:rsidR="00D36C57" w:rsidRDefault="00D36C57" w:rsidP="00D847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769616900"/>
      <w:docPartObj>
        <w:docPartGallery w:val="Page Numbers (Top of Page)"/>
        <w:docPartUnique/>
      </w:docPartObj>
    </w:sdtPr>
    <w:sdtEndPr/>
    <w:sdtContent>
      <w:p w14:paraId="37B5EC1A" w14:textId="1DA1BAFE" w:rsidR="001E2C7A" w:rsidRPr="001E2C7A" w:rsidRDefault="001E2C7A" w:rsidP="001E2C7A">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F571F2">
          <w:rPr>
            <w:b/>
            <w:bCs/>
            <w:noProof/>
            <w:color w:val="993366"/>
          </w:rPr>
          <w:t>16</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F571F2">
          <w:rPr>
            <w:b/>
            <w:bCs/>
            <w:noProof/>
            <w:color w:val="993366"/>
          </w:rPr>
          <w:t>16</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2E7E2" w14:textId="77777777" w:rsidR="00D36C57" w:rsidRDefault="00D36C57" w:rsidP="00D8479E">
      <w:pPr>
        <w:spacing w:before="0" w:after="0" w:line="240" w:lineRule="auto"/>
      </w:pPr>
      <w:r>
        <w:separator/>
      </w:r>
    </w:p>
  </w:footnote>
  <w:footnote w:type="continuationSeparator" w:id="0">
    <w:p w14:paraId="4B938CFD" w14:textId="77777777" w:rsidR="00D36C57" w:rsidRDefault="00D36C57" w:rsidP="00D8479E">
      <w:pPr>
        <w:spacing w:before="0" w:after="0" w:line="240" w:lineRule="auto"/>
      </w:pPr>
      <w:r>
        <w:continuationSeparator/>
      </w:r>
    </w:p>
  </w:footnote>
  <w:footnote w:id="1">
    <w:p w14:paraId="6958AD24" w14:textId="0B785D11" w:rsidR="00705084" w:rsidRPr="00B26CD6" w:rsidRDefault="00705084" w:rsidP="00705084">
      <w:pPr>
        <w:pStyle w:val="Textonotapie"/>
        <w:rPr>
          <w:sz w:val="14"/>
          <w:szCs w:val="16"/>
        </w:rPr>
      </w:pPr>
      <w:r w:rsidRPr="00B26CD6">
        <w:rPr>
          <w:rStyle w:val="Refdenotaalpie"/>
          <w:sz w:val="14"/>
          <w:szCs w:val="16"/>
        </w:rPr>
        <w:footnoteRef/>
      </w:r>
      <w:r w:rsidRPr="00B26CD6">
        <w:rPr>
          <w:sz w:val="14"/>
          <w:szCs w:val="16"/>
        </w:rPr>
        <w:t xml:space="preserve"> En lo sucesivo, para los cálculos se emplearon cifras que incluyen la totalidad de decimales que considera la hoja de cálculo del programa Excel, y por motivos de presentación y redondeo se reflejan en sólo dos decimales.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D8479E" w:rsidRPr="00063338" w14:paraId="47BC04D2" w14:textId="77777777" w:rsidTr="007B1BC1">
      <w:tc>
        <w:tcPr>
          <w:tcW w:w="1418" w:type="dxa"/>
        </w:tcPr>
        <w:p w14:paraId="04B10C95" w14:textId="77777777" w:rsidR="00D8479E" w:rsidRPr="00063338" w:rsidRDefault="00D8479E" w:rsidP="00D8479E">
          <w:pPr>
            <w:pStyle w:val="Encabezado"/>
            <w:ind w:left="-170"/>
            <w:jc w:val="left"/>
          </w:pPr>
          <w:r>
            <w:rPr>
              <w:b/>
              <w:noProof/>
              <w:sz w:val="32"/>
              <w:lang w:eastAsia="es-MX"/>
            </w:rPr>
            <w:drawing>
              <wp:inline distT="0" distB="0" distL="0" distR="0" wp14:anchorId="1311B6C5" wp14:editId="299D6C2C">
                <wp:extent cx="1014331" cy="1199403"/>
                <wp:effectExtent l="0" t="0" r="0" b="1270"/>
                <wp:docPr id="1677329494" name="Imagen 1677329494"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73C634F" w14:textId="77777777" w:rsidR="00D8479E" w:rsidRPr="00063338" w:rsidRDefault="00D8479E" w:rsidP="00D8479E">
          <w:pPr>
            <w:pStyle w:val="Encabezado"/>
            <w:spacing w:before="720"/>
            <w:jc w:val="center"/>
            <w:rPr>
              <w:b/>
              <w:bCs/>
              <w:sz w:val="25"/>
              <w:szCs w:val="25"/>
            </w:rPr>
          </w:pPr>
          <w:r w:rsidRPr="00063338">
            <w:rPr>
              <w:b/>
              <w:bCs/>
              <w:sz w:val="25"/>
              <w:szCs w:val="25"/>
            </w:rPr>
            <w:t>INSTITUTO ELECTORAL Y DE PARTICIPACIÓN CIUDADANA DE TABASCO</w:t>
          </w:r>
        </w:p>
        <w:p w14:paraId="02BA8380" w14:textId="77777777" w:rsidR="00D8479E" w:rsidRPr="00063338" w:rsidRDefault="00D8479E" w:rsidP="00D8479E">
          <w:pPr>
            <w:pStyle w:val="Encabezado"/>
            <w:jc w:val="center"/>
          </w:pPr>
          <w:r w:rsidRPr="00063338">
            <w:rPr>
              <w:sz w:val="26"/>
              <w:szCs w:val="26"/>
            </w:rPr>
            <w:t>CONSEJO ESTATAL</w:t>
          </w:r>
        </w:p>
      </w:tc>
      <w:tc>
        <w:tcPr>
          <w:tcW w:w="1701" w:type="dxa"/>
        </w:tcPr>
        <w:p w14:paraId="48538903" w14:textId="77777777" w:rsidR="00D8479E" w:rsidRPr="00063338" w:rsidRDefault="00D8479E" w:rsidP="00D8479E">
          <w:pPr>
            <w:pStyle w:val="Encabezado"/>
            <w:spacing w:before="480"/>
          </w:pPr>
          <w:r w:rsidRPr="00063338">
            <w:rPr>
              <w:noProof/>
              <w:lang w:eastAsia="es-MX"/>
            </w:rPr>
            <w:drawing>
              <wp:inline distT="0" distB="0" distL="0" distR="0" wp14:anchorId="174BAE33" wp14:editId="4D66A8AD">
                <wp:extent cx="921600" cy="756000"/>
                <wp:effectExtent l="0" t="0" r="0" b="6350"/>
                <wp:docPr id="1424688712" name="Imagen 142468871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18982D0" w14:textId="2384E982" w:rsidR="00D8479E" w:rsidRPr="00F96440" w:rsidRDefault="00F96440" w:rsidP="00F96440">
    <w:pPr>
      <w:pStyle w:val="Encabezado"/>
      <w:jc w:val="right"/>
      <w:rPr>
        <w:b/>
        <w:sz w:val="24"/>
        <w:szCs w:val="24"/>
      </w:rPr>
    </w:pPr>
    <w:r w:rsidRPr="00F96440">
      <w:rPr>
        <w:b/>
        <w:sz w:val="24"/>
        <w:szCs w:val="24"/>
      </w:rPr>
      <w:t>CE/2023/038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56AF"/>
    <w:multiLevelType w:val="multilevel"/>
    <w:tmpl w:val="6DD893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6EB3A4F"/>
    <w:multiLevelType w:val="hybridMultilevel"/>
    <w:tmpl w:val="4488ACB6"/>
    <w:lvl w:ilvl="0" w:tplc="9912B68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9A651D"/>
    <w:multiLevelType w:val="multilevel"/>
    <w:tmpl w:val="96E69E0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6E"/>
    <w:rsid w:val="000477E8"/>
    <w:rsid w:val="00061D0D"/>
    <w:rsid w:val="00084B79"/>
    <w:rsid w:val="000B2DB0"/>
    <w:rsid w:val="000C16AD"/>
    <w:rsid w:val="000D1661"/>
    <w:rsid w:val="000E4250"/>
    <w:rsid w:val="000F1F26"/>
    <w:rsid w:val="0010636E"/>
    <w:rsid w:val="001151D3"/>
    <w:rsid w:val="00132E8D"/>
    <w:rsid w:val="0014774A"/>
    <w:rsid w:val="00154BF6"/>
    <w:rsid w:val="00183F01"/>
    <w:rsid w:val="001E2C7A"/>
    <w:rsid w:val="001E4B46"/>
    <w:rsid w:val="0020557B"/>
    <w:rsid w:val="00220D49"/>
    <w:rsid w:val="002222F7"/>
    <w:rsid w:val="00227BC5"/>
    <w:rsid w:val="0027197A"/>
    <w:rsid w:val="002A2AF9"/>
    <w:rsid w:val="002B47F4"/>
    <w:rsid w:val="002B604F"/>
    <w:rsid w:val="002D160F"/>
    <w:rsid w:val="002E4209"/>
    <w:rsid w:val="003818A0"/>
    <w:rsid w:val="00387E03"/>
    <w:rsid w:val="003A2473"/>
    <w:rsid w:val="003C5617"/>
    <w:rsid w:val="003D3F4A"/>
    <w:rsid w:val="0042425E"/>
    <w:rsid w:val="004971EE"/>
    <w:rsid w:val="004B3400"/>
    <w:rsid w:val="004E7C4D"/>
    <w:rsid w:val="0050250F"/>
    <w:rsid w:val="00514A78"/>
    <w:rsid w:val="00592342"/>
    <w:rsid w:val="00593C32"/>
    <w:rsid w:val="005C5DF2"/>
    <w:rsid w:val="005D1064"/>
    <w:rsid w:val="005E3F97"/>
    <w:rsid w:val="00640AC6"/>
    <w:rsid w:val="0064207B"/>
    <w:rsid w:val="0069164B"/>
    <w:rsid w:val="006C405D"/>
    <w:rsid w:val="006C5E94"/>
    <w:rsid w:val="00705084"/>
    <w:rsid w:val="00720685"/>
    <w:rsid w:val="007C0FDF"/>
    <w:rsid w:val="007D1E7E"/>
    <w:rsid w:val="007E0C68"/>
    <w:rsid w:val="00812B78"/>
    <w:rsid w:val="008F6815"/>
    <w:rsid w:val="00916AC0"/>
    <w:rsid w:val="00991DCC"/>
    <w:rsid w:val="00992217"/>
    <w:rsid w:val="009A0F9B"/>
    <w:rsid w:val="009F5A4C"/>
    <w:rsid w:val="00A12C3B"/>
    <w:rsid w:val="00A32118"/>
    <w:rsid w:val="00A35BF3"/>
    <w:rsid w:val="00A363C3"/>
    <w:rsid w:val="00A91A35"/>
    <w:rsid w:val="00AA6BB9"/>
    <w:rsid w:val="00AB485F"/>
    <w:rsid w:val="00AC4685"/>
    <w:rsid w:val="00B12384"/>
    <w:rsid w:val="00B22A14"/>
    <w:rsid w:val="00B52423"/>
    <w:rsid w:val="00B62AD4"/>
    <w:rsid w:val="00B65AB2"/>
    <w:rsid w:val="00B821DC"/>
    <w:rsid w:val="00B83791"/>
    <w:rsid w:val="00C50CF8"/>
    <w:rsid w:val="00C71F78"/>
    <w:rsid w:val="00C85F74"/>
    <w:rsid w:val="00D047BD"/>
    <w:rsid w:val="00D346D4"/>
    <w:rsid w:val="00D36C57"/>
    <w:rsid w:val="00D437E8"/>
    <w:rsid w:val="00D8479E"/>
    <w:rsid w:val="00DB09EF"/>
    <w:rsid w:val="00DE3330"/>
    <w:rsid w:val="00DF4077"/>
    <w:rsid w:val="00E04CFA"/>
    <w:rsid w:val="00E50A07"/>
    <w:rsid w:val="00E73B41"/>
    <w:rsid w:val="00E77913"/>
    <w:rsid w:val="00E8051E"/>
    <w:rsid w:val="00EC2E51"/>
    <w:rsid w:val="00F12BAA"/>
    <w:rsid w:val="00F37855"/>
    <w:rsid w:val="00F571F2"/>
    <w:rsid w:val="00F832E7"/>
    <w:rsid w:val="00F834DA"/>
    <w:rsid w:val="00F96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3470"/>
  <w15:chartTrackingRefBased/>
  <w15:docId w15:val="{BFBD728E-CA25-44B0-BE7F-82737728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36E"/>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6C405D"/>
    <w:pPr>
      <w:keepNext/>
      <w:keepLines/>
      <w:numPr>
        <w:numId w:val="2"/>
      </w:numPr>
      <w:spacing w:before="600"/>
      <w:jc w:val="center"/>
      <w:outlineLvl w:val="0"/>
    </w:pPr>
    <w:rPr>
      <w:rFonts w:eastAsiaTheme="majorEastAsia"/>
      <w:b/>
      <w:bCs/>
      <w:sz w:val="28"/>
      <w:szCs w:val="28"/>
    </w:rPr>
  </w:style>
  <w:style w:type="paragraph" w:styleId="Ttulo2">
    <w:name w:val="heading 2"/>
    <w:basedOn w:val="Normal"/>
    <w:next w:val="Normal"/>
    <w:link w:val="Ttulo2Car"/>
    <w:uiPriority w:val="9"/>
    <w:unhideWhenUsed/>
    <w:qFormat/>
    <w:rsid w:val="002222F7"/>
    <w:pPr>
      <w:keepNext/>
      <w:keepLines/>
      <w:numPr>
        <w:ilvl w:val="1"/>
        <w:numId w:val="2"/>
      </w:numPr>
      <w:spacing w:before="480"/>
      <w:ind w:left="0" w:firstLine="0"/>
      <w:outlineLvl w:val="1"/>
    </w:pPr>
    <w:rPr>
      <w:rFonts w:eastAsiaTheme="majorEastAsia"/>
      <w:b/>
      <w:bCs/>
    </w:rPr>
  </w:style>
  <w:style w:type="paragraph" w:styleId="Ttulo3">
    <w:name w:val="heading 3"/>
    <w:basedOn w:val="Normal"/>
    <w:next w:val="Normal"/>
    <w:link w:val="Ttulo3Car"/>
    <w:uiPriority w:val="9"/>
    <w:unhideWhenUsed/>
    <w:qFormat/>
    <w:rsid w:val="009A0F9B"/>
    <w:pPr>
      <w:keepNext/>
      <w:keepLines/>
      <w:numPr>
        <w:ilvl w:val="2"/>
        <w:numId w:val="2"/>
      </w:numPr>
      <w:spacing w:before="480"/>
      <w:ind w:left="0" w:firstLine="0"/>
      <w:outlineLvl w:val="2"/>
    </w:pPr>
    <w:rPr>
      <w:rFonts w:eastAsiaTheme="majorEastAsia"/>
      <w:b/>
      <w:bCs/>
    </w:rPr>
  </w:style>
  <w:style w:type="paragraph" w:styleId="Ttulo4">
    <w:name w:val="heading 4"/>
    <w:basedOn w:val="Normal"/>
    <w:next w:val="Normal"/>
    <w:link w:val="Ttulo4Car"/>
    <w:uiPriority w:val="9"/>
    <w:semiHidden/>
    <w:unhideWhenUsed/>
    <w:qFormat/>
    <w:rsid w:val="0010636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10636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10636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10636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0636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0636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222F7"/>
    <w:rPr>
      <w:rFonts w:ascii="Arial" w:eastAsiaTheme="majorEastAsia" w:hAnsi="Arial" w:cs="Arial"/>
      <w:b/>
      <w:bCs/>
      <w:sz w:val="23"/>
      <w:szCs w:val="23"/>
    </w:rPr>
  </w:style>
  <w:style w:type="character" w:customStyle="1" w:styleId="Ttulo1Car">
    <w:name w:val="Título 1 Car"/>
    <w:basedOn w:val="Fuentedeprrafopredeter"/>
    <w:link w:val="Ttulo1"/>
    <w:uiPriority w:val="9"/>
    <w:rsid w:val="006C405D"/>
    <w:rPr>
      <w:rFonts w:ascii="Arial" w:eastAsiaTheme="majorEastAsia" w:hAnsi="Arial" w:cs="Arial"/>
      <w:b/>
      <w:bCs/>
      <w:sz w:val="28"/>
      <w:szCs w:val="28"/>
    </w:rPr>
  </w:style>
  <w:style w:type="character" w:customStyle="1" w:styleId="Ttulo3Car">
    <w:name w:val="Título 3 Car"/>
    <w:basedOn w:val="Fuentedeprrafopredeter"/>
    <w:link w:val="Ttulo3"/>
    <w:uiPriority w:val="9"/>
    <w:rsid w:val="009A0F9B"/>
    <w:rPr>
      <w:rFonts w:ascii="Arial" w:eastAsiaTheme="majorEastAsia" w:hAnsi="Arial" w:cs="Arial"/>
      <w:b/>
      <w:bCs/>
      <w:sz w:val="23"/>
      <w:szCs w:val="23"/>
    </w:rPr>
  </w:style>
  <w:style w:type="character" w:customStyle="1" w:styleId="Ttulo4Car">
    <w:name w:val="Título 4 Car"/>
    <w:basedOn w:val="Fuentedeprrafopredeter"/>
    <w:link w:val="Ttulo4"/>
    <w:uiPriority w:val="9"/>
    <w:semiHidden/>
    <w:rsid w:val="0010636E"/>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10636E"/>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10636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10636E"/>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10636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0636E"/>
    <w:rPr>
      <w:rFonts w:asciiTheme="majorHAnsi" w:eastAsiaTheme="majorEastAsia" w:hAnsiTheme="majorHAnsi" w:cstheme="majorBidi"/>
      <w:i/>
      <w:iCs/>
      <w:color w:val="272727" w:themeColor="text1" w:themeTint="D8"/>
      <w:sz w:val="21"/>
      <w:szCs w:val="21"/>
    </w:rPr>
  </w:style>
  <w:style w:type="paragraph" w:styleId="Cita">
    <w:name w:val="Quote"/>
    <w:basedOn w:val="Normal"/>
    <w:next w:val="Normal"/>
    <w:link w:val="CitaCar"/>
    <w:uiPriority w:val="29"/>
    <w:qFormat/>
    <w:rsid w:val="0010636E"/>
    <w:pPr>
      <w:spacing w:before="60" w:after="60" w:line="276" w:lineRule="auto"/>
      <w:ind w:left="1758" w:right="862" w:hanging="397"/>
    </w:pPr>
    <w:rPr>
      <w:rFonts w:ascii="Arial Narrow" w:hAnsi="Arial Narrow"/>
      <w:i/>
      <w:iCs/>
      <w:kern w:val="0"/>
      <w:sz w:val="20"/>
      <w:szCs w:val="22"/>
      <w14:ligatures w14:val="none"/>
    </w:rPr>
  </w:style>
  <w:style w:type="character" w:customStyle="1" w:styleId="CitaCar">
    <w:name w:val="Cita Car"/>
    <w:basedOn w:val="Fuentedeprrafopredeter"/>
    <w:link w:val="Cita"/>
    <w:uiPriority w:val="29"/>
    <w:rsid w:val="0010636E"/>
    <w:rPr>
      <w:rFonts w:ascii="Arial Narrow" w:hAnsi="Arial Narrow" w:cs="Arial"/>
      <w:i/>
      <w:iCs/>
      <w:kern w:val="0"/>
      <w:sz w:val="20"/>
      <w14:ligatures w14:val="none"/>
    </w:rPr>
  </w:style>
  <w:style w:type="table" w:styleId="Tablaconcuadrcula">
    <w:name w:val="Table Grid"/>
    <w:basedOn w:val="Tablanormal"/>
    <w:uiPriority w:val="39"/>
    <w:rsid w:val="004E7C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479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D8479E"/>
    <w:rPr>
      <w:rFonts w:ascii="Arial" w:hAnsi="Arial" w:cs="Arial"/>
      <w:sz w:val="23"/>
      <w:szCs w:val="23"/>
    </w:rPr>
  </w:style>
  <w:style w:type="paragraph" w:styleId="Piedepgina">
    <w:name w:val="footer"/>
    <w:basedOn w:val="Normal"/>
    <w:link w:val="PiedepginaCar"/>
    <w:uiPriority w:val="99"/>
    <w:unhideWhenUsed/>
    <w:rsid w:val="00D8479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D8479E"/>
    <w:rPr>
      <w:rFonts w:ascii="Arial" w:hAnsi="Arial" w:cs="Arial"/>
      <w:sz w:val="23"/>
      <w:szCs w:val="23"/>
    </w:rPr>
  </w:style>
  <w:style w:type="paragraph" w:styleId="Ttulo">
    <w:name w:val="Title"/>
    <w:basedOn w:val="Normal"/>
    <w:next w:val="Normal"/>
    <w:link w:val="TtuloCar"/>
    <w:uiPriority w:val="10"/>
    <w:qFormat/>
    <w:rsid w:val="00D8479E"/>
    <w:rPr>
      <w:b/>
      <w:bCs/>
      <w:sz w:val="22"/>
      <w:szCs w:val="22"/>
    </w:rPr>
  </w:style>
  <w:style w:type="character" w:customStyle="1" w:styleId="TtuloCar">
    <w:name w:val="Título Car"/>
    <w:basedOn w:val="Fuentedeprrafopredeter"/>
    <w:link w:val="Ttulo"/>
    <w:uiPriority w:val="10"/>
    <w:rsid w:val="00D8479E"/>
    <w:rPr>
      <w:rFonts w:ascii="Arial" w:hAnsi="Arial" w:cs="Arial"/>
      <w:b/>
      <w:bCs/>
    </w:rPr>
  </w:style>
  <w:style w:type="paragraph" w:styleId="Textonotapie">
    <w:name w:val="footnote text"/>
    <w:basedOn w:val="Normal"/>
    <w:link w:val="TextonotapieCar"/>
    <w:uiPriority w:val="99"/>
    <w:semiHidden/>
    <w:unhideWhenUsed/>
    <w:rsid w:val="00705084"/>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705084"/>
    <w:rPr>
      <w:rFonts w:ascii="Arial" w:hAnsi="Arial" w:cs="Arial"/>
      <w:sz w:val="20"/>
      <w:szCs w:val="20"/>
    </w:rPr>
  </w:style>
  <w:style w:type="character" w:styleId="Refdenotaalpie">
    <w:name w:val="footnote reference"/>
    <w:basedOn w:val="Fuentedeprrafopredeter"/>
    <w:uiPriority w:val="99"/>
    <w:semiHidden/>
    <w:unhideWhenUsed/>
    <w:rsid w:val="00705084"/>
    <w:rPr>
      <w:vertAlign w:val="superscript"/>
    </w:rPr>
  </w:style>
  <w:style w:type="paragraph" w:customStyle="1" w:styleId="Puntos">
    <w:name w:val="Puntos"/>
    <w:basedOn w:val="Normal"/>
    <w:link w:val="PuntosCar"/>
    <w:qFormat/>
    <w:rsid w:val="00592342"/>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592342"/>
    <w:rPr>
      <w:rFonts w:ascii="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C978-105A-442F-B3D5-E250B633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4348</Words>
  <Characters>23914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Jaqueline del Carmen Carrillo Llergo</cp:lastModifiedBy>
  <cp:revision>93</cp:revision>
  <cp:lastPrinted>2023-10-13T20:09:00Z</cp:lastPrinted>
  <dcterms:created xsi:type="dcterms:W3CDTF">2023-10-13T00:32:00Z</dcterms:created>
  <dcterms:modified xsi:type="dcterms:W3CDTF">2023-11-01T02:39:00Z</dcterms:modified>
</cp:coreProperties>
</file>